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D190C" w14:textId="77777777" w:rsidR="00E31389" w:rsidRPr="00E31389" w:rsidRDefault="00E31389" w:rsidP="00E31389">
      <w:pPr>
        <w:spacing w:line="360" w:lineRule="auto"/>
        <w:jc w:val="right"/>
        <w:rPr>
          <w:rFonts w:eastAsia="Calibri"/>
          <w:sz w:val="20"/>
          <w:szCs w:val="20"/>
          <w:lang w:val="es-ES" w:eastAsia="en-US"/>
        </w:rPr>
      </w:pPr>
      <w:r w:rsidRPr="00E31389">
        <w:rPr>
          <w:rFonts w:eastAsia="Calibri"/>
          <w:sz w:val="20"/>
          <w:szCs w:val="20"/>
          <w:lang w:val="es-ES" w:eastAsia="en-US"/>
        </w:rPr>
        <w:t>Artículo de investigación</w:t>
      </w:r>
    </w:p>
    <w:p w14:paraId="7C06DAAA" w14:textId="77777777" w:rsidR="00E31389" w:rsidRPr="00E31389" w:rsidRDefault="00E31389" w:rsidP="00E31389">
      <w:pPr>
        <w:spacing w:line="360" w:lineRule="auto"/>
        <w:jc w:val="both"/>
        <w:rPr>
          <w:rFonts w:eastAsia="Calibri"/>
          <w:b/>
          <w:lang w:val="es-ES" w:eastAsia="en-US"/>
        </w:rPr>
      </w:pPr>
    </w:p>
    <w:p w14:paraId="647D1D5D" w14:textId="56C2B7AF" w:rsidR="00B32AD5" w:rsidRPr="00B32AD5" w:rsidRDefault="000F28E3" w:rsidP="00B32AD5">
      <w:pPr>
        <w:spacing w:line="360" w:lineRule="auto"/>
        <w:jc w:val="center"/>
        <w:rPr>
          <w:rFonts w:eastAsia="Calibri"/>
          <w:b/>
          <w:sz w:val="28"/>
          <w:szCs w:val="28"/>
          <w:lang w:val="es-ES" w:eastAsia="en-US"/>
        </w:rPr>
      </w:pPr>
      <w:bookmarkStart w:id="0" w:name="_Hlk63691167"/>
      <w:r>
        <w:rPr>
          <w:rFonts w:eastAsia="Calibri"/>
          <w:b/>
          <w:sz w:val="28"/>
          <w:szCs w:val="28"/>
          <w:lang w:val="es-ES" w:eastAsia="en-US"/>
        </w:rPr>
        <w:t>L</w:t>
      </w:r>
      <w:r w:rsidR="00B32AD5" w:rsidRPr="00B32AD5">
        <w:rPr>
          <w:rFonts w:eastAsia="Calibri"/>
          <w:b/>
          <w:sz w:val="28"/>
          <w:szCs w:val="28"/>
          <w:lang w:val="es-ES" w:eastAsia="en-US"/>
        </w:rPr>
        <w:t xml:space="preserve">a COVID-19 </w:t>
      </w:r>
      <w:r>
        <w:rPr>
          <w:rFonts w:eastAsia="Calibri"/>
          <w:b/>
          <w:sz w:val="28"/>
          <w:szCs w:val="28"/>
          <w:lang w:val="es-ES" w:eastAsia="en-US"/>
        </w:rPr>
        <w:t>en pacientes con</w:t>
      </w:r>
      <w:r w:rsidR="00B32AD5" w:rsidRPr="00B32AD5">
        <w:rPr>
          <w:rFonts w:eastAsia="Calibri"/>
          <w:b/>
          <w:sz w:val="28"/>
          <w:szCs w:val="28"/>
          <w:lang w:val="es-ES" w:eastAsia="en-US"/>
        </w:rPr>
        <w:t xml:space="preserve"> enfermedad renal crónica en hemodiálisis</w:t>
      </w:r>
    </w:p>
    <w:p w14:paraId="2EDC71CC" w14:textId="22D03899" w:rsidR="00B32AD5" w:rsidRPr="00B32AD5" w:rsidRDefault="00B32AD5" w:rsidP="00B32AD5">
      <w:pPr>
        <w:spacing w:line="360" w:lineRule="auto"/>
        <w:jc w:val="center"/>
        <w:rPr>
          <w:rFonts w:eastAsia="Calibri"/>
          <w:lang w:val="en" w:eastAsia="en-US"/>
        </w:rPr>
      </w:pPr>
      <w:r w:rsidRPr="00B32AD5">
        <w:rPr>
          <w:rFonts w:eastAsia="Calibri"/>
          <w:sz w:val="28"/>
          <w:szCs w:val="28"/>
          <w:lang w:val="en" w:eastAsia="en-US"/>
        </w:rPr>
        <w:t>COVID-19</w:t>
      </w:r>
      <w:r w:rsidR="000F28E3">
        <w:rPr>
          <w:rFonts w:eastAsia="Calibri"/>
          <w:sz w:val="28"/>
          <w:szCs w:val="28"/>
          <w:lang w:val="en" w:eastAsia="en-US"/>
        </w:rPr>
        <w:t xml:space="preserve"> in patients</w:t>
      </w:r>
      <w:r w:rsidRPr="00B32AD5">
        <w:rPr>
          <w:rFonts w:eastAsia="Calibri"/>
          <w:sz w:val="28"/>
          <w:szCs w:val="28"/>
          <w:lang w:val="en" w:eastAsia="en-US"/>
        </w:rPr>
        <w:t xml:space="preserve"> with chronic kidney disease on hemodialysis</w:t>
      </w:r>
    </w:p>
    <w:bookmarkEnd w:id="0"/>
    <w:p w14:paraId="30AF04E0" w14:textId="775A7666" w:rsidR="00400A6A" w:rsidRPr="00400A6A" w:rsidRDefault="00400A6A" w:rsidP="00400A6A">
      <w:pPr>
        <w:spacing w:line="360" w:lineRule="auto"/>
        <w:jc w:val="center"/>
        <w:rPr>
          <w:rFonts w:eastAsia="Calibri"/>
          <w:lang w:val="en" w:eastAsia="en-US"/>
        </w:rPr>
      </w:pPr>
    </w:p>
    <w:p w14:paraId="3078B968" w14:textId="77777777" w:rsidR="00E31389" w:rsidRPr="00E31389" w:rsidRDefault="00E31389" w:rsidP="00E31389">
      <w:pPr>
        <w:spacing w:line="360" w:lineRule="auto"/>
        <w:jc w:val="both"/>
        <w:rPr>
          <w:lang w:val="pt-BR" w:eastAsia="es-ES"/>
        </w:rPr>
      </w:pPr>
      <w:r w:rsidRPr="00E31389">
        <w:rPr>
          <w:lang w:val="pt-BR" w:eastAsia="es-ES"/>
        </w:rPr>
        <w:t>Tomás de Armas Gil</w:t>
      </w:r>
      <w:r w:rsidRPr="00E31389">
        <w:rPr>
          <w:vertAlign w:val="superscript"/>
          <w:lang w:val="pt-BR" w:eastAsia="es-ES"/>
        </w:rPr>
        <w:t>1</w:t>
      </w:r>
      <w:r w:rsidRPr="00E31389">
        <w:rPr>
          <w:lang w:val="pt-BR" w:eastAsia="es-ES"/>
        </w:rPr>
        <w:t>*</w:t>
      </w:r>
      <w:r w:rsidRPr="00E31389">
        <w:rPr>
          <w:vertAlign w:val="superscript"/>
          <w:lang w:val="pt-BR" w:eastAsia="es-ES"/>
        </w:rPr>
        <w:t xml:space="preserve"> </w:t>
      </w:r>
      <w:hyperlink r:id="rId6" w:history="1">
        <w:r w:rsidRPr="00E31389">
          <w:rPr>
            <w:color w:val="0000FF"/>
            <w:u w:val="single"/>
            <w:lang w:val="es-ES" w:eastAsia="es-ES"/>
          </w:rPr>
          <w:t>https://orcid.org/0000-0002-6149-6965</w:t>
        </w:r>
      </w:hyperlink>
      <w:r w:rsidRPr="00E31389">
        <w:rPr>
          <w:lang w:val="es-ES" w:eastAsia="es-ES"/>
        </w:rPr>
        <w:t xml:space="preserve"> </w:t>
      </w:r>
    </w:p>
    <w:p w14:paraId="226DA380" w14:textId="77777777" w:rsidR="00E31389" w:rsidRPr="00E31389" w:rsidRDefault="00E31389" w:rsidP="00E31389">
      <w:pPr>
        <w:spacing w:line="360" w:lineRule="auto"/>
        <w:jc w:val="both"/>
        <w:rPr>
          <w:lang w:val="es-ES" w:eastAsia="es-ES"/>
        </w:rPr>
      </w:pPr>
      <w:proofErr w:type="spellStart"/>
      <w:r w:rsidRPr="00E31389">
        <w:rPr>
          <w:lang w:val="es-ES" w:eastAsia="es-ES"/>
        </w:rPr>
        <w:t>Yeneisis</w:t>
      </w:r>
      <w:proofErr w:type="spellEnd"/>
      <w:r w:rsidRPr="00E31389">
        <w:rPr>
          <w:lang w:val="es-ES" w:eastAsia="es-ES"/>
        </w:rPr>
        <w:t xml:space="preserve"> Herrera Oropesa</w:t>
      </w:r>
      <w:r w:rsidRPr="00E31389">
        <w:rPr>
          <w:vertAlign w:val="superscript"/>
          <w:lang w:val="es-ES" w:eastAsia="es-ES"/>
        </w:rPr>
        <w:t xml:space="preserve">1 </w:t>
      </w:r>
      <w:hyperlink r:id="rId7" w:history="1">
        <w:r w:rsidRPr="00E31389">
          <w:rPr>
            <w:color w:val="0000FF"/>
            <w:u w:val="single"/>
            <w:lang w:val="es-ES" w:eastAsia="es-ES"/>
          </w:rPr>
          <w:t>https://orcid.org/0000-0002-9185-1112</w:t>
        </w:r>
      </w:hyperlink>
      <w:r w:rsidRPr="00E31389">
        <w:rPr>
          <w:lang w:val="es-ES" w:eastAsia="es-ES"/>
        </w:rPr>
        <w:t xml:space="preserve"> </w:t>
      </w:r>
    </w:p>
    <w:p w14:paraId="63261B5F" w14:textId="77777777" w:rsidR="00E31389" w:rsidRPr="00E31389" w:rsidRDefault="00E31389" w:rsidP="00E31389">
      <w:pPr>
        <w:spacing w:line="360" w:lineRule="auto"/>
        <w:jc w:val="both"/>
        <w:rPr>
          <w:lang w:val="pt-BR" w:eastAsia="es-ES"/>
        </w:rPr>
      </w:pPr>
      <w:r w:rsidRPr="00E31389">
        <w:rPr>
          <w:lang w:val="pt-BR" w:eastAsia="es-ES"/>
        </w:rPr>
        <w:t>Jorge Barroso Cruz</w:t>
      </w:r>
      <w:r w:rsidRPr="00E31389">
        <w:rPr>
          <w:vertAlign w:val="superscript"/>
          <w:lang w:val="pt-BR" w:eastAsia="es-ES"/>
        </w:rPr>
        <w:t>1</w:t>
      </w:r>
      <w:r w:rsidRPr="00E31389">
        <w:rPr>
          <w:lang w:val="pt-BR" w:eastAsia="es-ES"/>
        </w:rPr>
        <w:t xml:space="preserve"> </w:t>
      </w:r>
      <w:hyperlink r:id="rId8" w:history="1">
        <w:r w:rsidRPr="00E31389">
          <w:rPr>
            <w:rFonts w:eastAsia="Calibri"/>
            <w:color w:val="0000FF"/>
            <w:u w:val="single"/>
            <w:lang w:val="es-ES" w:eastAsia="en-US"/>
          </w:rPr>
          <w:t>https://orcid.org/0000-0002-2415-6187</w:t>
        </w:r>
      </w:hyperlink>
      <w:r w:rsidRPr="00E31389">
        <w:rPr>
          <w:rFonts w:eastAsia="Calibri"/>
          <w:lang w:val="es-ES" w:eastAsia="en-US"/>
        </w:rPr>
        <w:t xml:space="preserve"> </w:t>
      </w:r>
    </w:p>
    <w:p w14:paraId="47F4FC5B" w14:textId="77777777" w:rsidR="00E31389" w:rsidRPr="00E31389" w:rsidRDefault="00E31389" w:rsidP="00E31389">
      <w:pPr>
        <w:spacing w:after="160" w:line="256" w:lineRule="auto"/>
        <w:rPr>
          <w:lang w:val="en-US" w:eastAsia="es-ES"/>
        </w:rPr>
      </w:pPr>
      <w:r w:rsidRPr="00E31389">
        <w:rPr>
          <w:lang w:val="en-US" w:eastAsia="es-ES"/>
        </w:rPr>
        <w:t>Harold Ricardo Joseph Planas</w:t>
      </w:r>
      <w:r w:rsidRPr="00E31389">
        <w:rPr>
          <w:vertAlign w:val="superscript"/>
          <w:lang w:val="en-US" w:eastAsia="es-ES"/>
        </w:rPr>
        <w:t xml:space="preserve">1 </w:t>
      </w:r>
      <w:hyperlink r:id="rId9" w:history="1">
        <w:r w:rsidRPr="00E31389">
          <w:rPr>
            <w:color w:val="0000FF"/>
            <w:u w:val="single"/>
            <w:lang w:val="en-US" w:eastAsia="es-ES"/>
          </w:rPr>
          <w:t>https://orcid.org/0000-0002-8835-3657</w:t>
        </w:r>
      </w:hyperlink>
      <w:r w:rsidRPr="00E31389">
        <w:rPr>
          <w:lang w:val="en-US" w:eastAsia="es-ES"/>
        </w:rPr>
        <w:t xml:space="preserve"> </w:t>
      </w:r>
    </w:p>
    <w:p w14:paraId="1C81F7AB" w14:textId="77777777" w:rsidR="00E31389" w:rsidRPr="00E31389" w:rsidRDefault="00E31389" w:rsidP="00E31389">
      <w:pPr>
        <w:spacing w:after="160" w:line="256" w:lineRule="auto"/>
        <w:rPr>
          <w:lang w:val="es-ES" w:eastAsia="es-ES"/>
        </w:rPr>
      </w:pPr>
      <w:r w:rsidRPr="00E31389">
        <w:rPr>
          <w:lang w:val="es-ES" w:eastAsia="es-ES"/>
        </w:rPr>
        <w:t>Ailyn Bárbara Rey Torres</w:t>
      </w:r>
      <w:r w:rsidRPr="00E31389">
        <w:rPr>
          <w:vertAlign w:val="superscript"/>
          <w:lang w:val="es-ES" w:eastAsia="es-ES"/>
        </w:rPr>
        <w:t xml:space="preserve">1 </w:t>
      </w:r>
      <w:hyperlink r:id="rId10" w:history="1">
        <w:r w:rsidRPr="00E31389">
          <w:rPr>
            <w:color w:val="0000FF"/>
            <w:u w:val="single"/>
            <w:lang w:val="es-ES" w:eastAsia="es-ES"/>
          </w:rPr>
          <w:t>https://orcid.org/0000-0001-9562-5713</w:t>
        </w:r>
      </w:hyperlink>
      <w:r w:rsidRPr="00E31389">
        <w:rPr>
          <w:lang w:val="es-ES" w:eastAsia="es-ES"/>
        </w:rPr>
        <w:t xml:space="preserve"> </w:t>
      </w:r>
    </w:p>
    <w:p w14:paraId="41070EF9" w14:textId="77777777" w:rsidR="00E31389" w:rsidRPr="00E31389" w:rsidRDefault="00E31389" w:rsidP="00E31389">
      <w:pPr>
        <w:spacing w:line="360" w:lineRule="auto"/>
        <w:jc w:val="both"/>
        <w:rPr>
          <w:lang w:val="es-ES" w:eastAsia="es-ES"/>
        </w:rPr>
      </w:pPr>
      <w:r w:rsidRPr="00E31389">
        <w:rPr>
          <w:lang w:val="es-ES" w:eastAsia="es-ES"/>
        </w:rPr>
        <w:t>Jorge Fuentes Abreu</w:t>
      </w:r>
      <w:r w:rsidRPr="00E31389">
        <w:rPr>
          <w:vertAlign w:val="superscript"/>
          <w:lang w:val="es-ES" w:eastAsia="es-ES"/>
        </w:rPr>
        <w:t>1</w:t>
      </w:r>
      <w:r w:rsidRPr="00E31389">
        <w:rPr>
          <w:lang w:val="es-ES" w:eastAsia="es-ES"/>
        </w:rPr>
        <w:t xml:space="preserve"> </w:t>
      </w:r>
      <w:hyperlink r:id="rId11" w:history="1">
        <w:r w:rsidRPr="00E31389">
          <w:rPr>
            <w:color w:val="0000FF"/>
            <w:u w:val="single"/>
            <w:lang w:val="es-ES" w:eastAsia="es-ES"/>
          </w:rPr>
          <w:t>https://orcid.org/0000-0003-2603-6442</w:t>
        </w:r>
      </w:hyperlink>
      <w:r w:rsidRPr="00E31389">
        <w:rPr>
          <w:lang w:val="es-ES" w:eastAsia="es-ES"/>
        </w:rPr>
        <w:t xml:space="preserve"> </w:t>
      </w:r>
    </w:p>
    <w:p w14:paraId="46D6349B" w14:textId="77777777" w:rsidR="00E31389" w:rsidRPr="00E31389" w:rsidRDefault="00E31389" w:rsidP="00E31389">
      <w:pPr>
        <w:spacing w:line="360" w:lineRule="auto"/>
        <w:jc w:val="both"/>
        <w:rPr>
          <w:lang w:val="es-ES" w:eastAsia="es-ES"/>
        </w:rPr>
      </w:pPr>
      <w:proofErr w:type="spellStart"/>
      <w:r w:rsidRPr="00E31389">
        <w:rPr>
          <w:lang w:val="es-ES" w:eastAsia="es-ES"/>
        </w:rPr>
        <w:t>Zulimay</w:t>
      </w:r>
      <w:proofErr w:type="spellEnd"/>
      <w:r w:rsidRPr="00E31389">
        <w:rPr>
          <w:lang w:val="es-ES" w:eastAsia="es-ES"/>
        </w:rPr>
        <w:t xml:space="preserve"> Torres García</w:t>
      </w:r>
      <w:r w:rsidRPr="00E31389">
        <w:rPr>
          <w:vertAlign w:val="superscript"/>
          <w:lang w:val="es-ES" w:eastAsia="es-ES"/>
        </w:rPr>
        <w:t xml:space="preserve">1 </w:t>
      </w:r>
      <w:hyperlink r:id="rId12" w:history="1">
        <w:r w:rsidRPr="00E31389">
          <w:rPr>
            <w:rFonts w:eastAsia="Calibri"/>
            <w:color w:val="0000FF"/>
            <w:u w:val="single"/>
            <w:lang w:val="es-ES" w:eastAsia="en-US"/>
          </w:rPr>
          <w:t>https://orcid.org/0000-0003-3622-5706</w:t>
        </w:r>
      </w:hyperlink>
      <w:r w:rsidRPr="00E31389">
        <w:rPr>
          <w:rFonts w:eastAsia="Calibri"/>
          <w:lang w:val="es-ES" w:eastAsia="en-US"/>
        </w:rPr>
        <w:t xml:space="preserve"> </w:t>
      </w:r>
    </w:p>
    <w:p w14:paraId="22AD0975" w14:textId="77777777" w:rsidR="00E31389" w:rsidRPr="00E31389" w:rsidRDefault="00E31389" w:rsidP="00E31389">
      <w:pPr>
        <w:spacing w:line="360" w:lineRule="auto"/>
        <w:jc w:val="both"/>
        <w:rPr>
          <w:lang w:val="es-ES" w:eastAsia="es-ES"/>
        </w:rPr>
      </w:pPr>
      <w:r w:rsidRPr="00E31389">
        <w:rPr>
          <w:lang w:val="es-ES" w:eastAsia="es-ES"/>
        </w:rPr>
        <w:t>Yadira González Viciedo</w:t>
      </w:r>
      <w:r w:rsidRPr="00E31389">
        <w:rPr>
          <w:vertAlign w:val="superscript"/>
          <w:lang w:val="es-ES" w:eastAsia="es-ES"/>
        </w:rPr>
        <w:t xml:space="preserve">1 </w:t>
      </w:r>
      <w:hyperlink r:id="rId13" w:history="1">
        <w:r w:rsidRPr="00E31389">
          <w:rPr>
            <w:rFonts w:eastAsia="Calibri"/>
            <w:color w:val="0000FF"/>
            <w:u w:val="single"/>
            <w:lang w:val="es-ES" w:eastAsia="en-US"/>
          </w:rPr>
          <w:t>https://orcid.org/0000-0002-5033-8195</w:t>
        </w:r>
      </w:hyperlink>
      <w:r w:rsidRPr="00E31389">
        <w:rPr>
          <w:rFonts w:eastAsia="Calibri"/>
          <w:lang w:val="es-ES" w:eastAsia="en-US"/>
        </w:rPr>
        <w:t xml:space="preserve"> </w:t>
      </w:r>
    </w:p>
    <w:p w14:paraId="63509D9A" w14:textId="77777777" w:rsidR="00E31389" w:rsidRPr="00E31389" w:rsidRDefault="00E31389" w:rsidP="00E31389">
      <w:pPr>
        <w:spacing w:line="360" w:lineRule="auto"/>
        <w:jc w:val="both"/>
        <w:rPr>
          <w:lang w:val="es-ES" w:eastAsia="es-ES"/>
        </w:rPr>
      </w:pPr>
    </w:p>
    <w:p w14:paraId="26BAFD74" w14:textId="77777777" w:rsidR="00E31389" w:rsidRPr="00E31389" w:rsidRDefault="00E31389" w:rsidP="00E31389">
      <w:pPr>
        <w:spacing w:line="360" w:lineRule="auto"/>
        <w:jc w:val="both"/>
        <w:rPr>
          <w:lang w:val="pt-BR" w:eastAsia="es-ES"/>
        </w:rPr>
      </w:pPr>
      <w:r w:rsidRPr="00E31389">
        <w:rPr>
          <w:vertAlign w:val="superscript"/>
          <w:lang w:val="es-ES" w:eastAsia="es-ES"/>
        </w:rPr>
        <w:t>1</w:t>
      </w:r>
      <w:r w:rsidRPr="00E31389">
        <w:rPr>
          <w:lang w:val="es-ES" w:eastAsia="es-ES"/>
        </w:rPr>
        <w:t xml:space="preserve">Hospital Militar Central "Dr. Luis Díaz Soto". La Habana, </w:t>
      </w:r>
      <w:r w:rsidRPr="00E31389">
        <w:rPr>
          <w:lang w:val="pt-BR" w:eastAsia="es-ES"/>
        </w:rPr>
        <w:t>Cuba</w:t>
      </w:r>
    </w:p>
    <w:p w14:paraId="6E9A232E" w14:textId="77777777" w:rsidR="00E31389" w:rsidRPr="00E31389" w:rsidRDefault="00E31389" w:rsidP="00E31389">
      <w:pPr>
        <w:spacing w:line="360" w:lineRule="auto"/>
        <w:jc w:val="both"/>
        <w:rPr>
          <w:vertAlign w:val="superscript"/>
          <w:lang w:val="es-ES" w:eastAsia="es-ES"/>
        </w:rPr>
      </w:pPr>
      <w:r w:rsidRPr="00E31389">
        <w:rPr>
          <w:rFonts w:eastAsia="Calibri"/>
          <w:color w:val="000000"/>
          <w:lang w:val="es-ES" w:eastAsia="en-US"/>
        </w:rPr>
        <w:t xml:space="preserve">*Autor para la correspondencia. Correo electrónico: </w:t>
      </w:r>
      <w:hyperlink r:id="rId14" w:history="1">
        <w:r w:rsidRPr="00E31389">
          <w:rPr>
            <w:color w:val="0000FF"/>
            <w:u w:val="single"/>
            <w:lang w:val="pt-BR" w:eastAsia="es-ES"/>
          </w:rPr>
          <w:t>tomasitocuba83@gmail.c</w:t>
        </w:r>
      </w:hyperlink>
      <w:r w:rsidRPr="00E31389">
        <w:rPr>
          <w:color w:val="0563C1"/>
          <w:u w:val="single"/>
          <w:lang w:val="pt-BR" w:eastAsia="es-ES"/>
        </w:rPr>
        <w:t>om</w:t>
      </w:r>
    </w:p>
    <w:p w14:paraId="2A4485F6" w14:textId="77777777" w:rsidR="00E31389" w:rsidRPr="00E31389" w:rsidRDefault="00E31389" w:rsidP="00E31389">
      <w:pPr>
        <w:spacing w:line="360" w:lineRule="auto"/>
        <w:jc w:val="both"/>
        <w:rPr>
          <w:lang w:val="pt-BR" w:eastAsia="es-ES"/>
        </w:rPr>
      </w:pPr>
    </w:p>
    <w:p w14:paraId="21D3F7B9" w14:textId="77777777" w:rsidR="00E31389" w:rsidRPr="00E31389" w:rsidRDefault="00E31389" w:rsidP="00E31389">
      <w:pPr>
        <w:spacing w:line="360" w:lineRule="auto"/>
        <w:jc w:val="both"/>
        <w:rPr>
          <w:b/>
          <w:lang w:val="pt-BR" w:eastAsia="es-ES"/>
        </w:rPr>
      </w:pPr>
      <w:r w:rsidRPr="00E31389">
        <w:rPr>
          <w:b/>
          <w:lang w:val="pt-BR" w:eastAsia="es-ES"/>
        </w:rPr>
        <w:t>RESUMEN</w:t>
      </w:r>
    </w:p>
    <w:p w14:paraId="5BD34760" w14:textId="77777777" w:rsidR="00E31389" w:rsidRPr="00E31389" w:rsidRDefault="00E31389" w:rsidP="00E31389">
      <w:pPr>
        <w:tabs>
          <w:tab w:val="left" w:pos="1005"/>
        </w:tabs>
        <w:spacing w:line="360" w:lineRule="auto"/>
        <w:jc w:val="both"/>
        <w:rPr>
          <w:lang w:val="es-ES" w:eastAsia="es-ES"/>
        </w:rPr>
      </w:pPr>
      <w:r w:rsidRPr="00E31389">
        <w:rPr>
          <w:b/>
          <w:lang w:val="es-ES" w:eastAsia="es-ES"/>
        </w:rPr>
        <w:t>Introducción:</w:t>
      </w:r>
      <w:r w:rsidRPr="00E31389">
        <w:rPr>
          <w:lang w:val="es-ES" w:eastAsia="es-ES"/>
        </w:rPr>
        <w:t xml:space="preserve"> La pandemia por el coronavirus SARS-CoV-2 ha impactado significativamente en la población general. Los pacientes en hemodiálisis por sus características resultan vulnerables.</w:t>
      </w:r>
    </w:p>
    <w:p w14:paraId="53661F8A" w14:textId="48114D14" w:rsidR="00E31389" w:rsidRPr="00E31389" w:rsidRDefault="00E31389" w:rsidP="00E31389">
      <w:pPr>
        <w:tabs>
          <w:tab w:val="left" w:pos="1005"/>
        </w:tabs>
        <w:spacing w:line="360" w:lineRule="auto"/>
        <w:jc w:val="both"/>
        <w:rPr>
          <w:lang w:val="es-ES" w:eastAsia="es-ES"/>
        </w:rPr>
      </w:pPr>
      <w:r w:rsidRPr="00E31389">
        <w:rPr>
          <w:b/>
          <w:lang w:val="es-ES" w:eastAsia="es-ES"/>
        </w:rPr>
        <w:t>Objetivo:</w:t>
      </w:r>
      <w:r w:rsidRPr="00E31389">
        <w:rPr>
          <w:lang w:val="es-ES" w:eastAsia="es-ES"/>
        </w:rPr>
        <w:t xml:space="preserve"> </w:t>
      </w:r>
      <w:r w:rsidR="002F1AD0" w:rsidRPr="002F1AD0">
        <w:rPr>
          <w:lang w:val="es-ES" w:eastAsia="es-ES"/>
        </w:rPr>
        <w:t>Especificar las características de pacientes con la COVID-19, portadores de enfermedad renal crónica, en régimen de hemodiálisis.</w:t>
      </w:r>
    </w:p>
    <w:p w14:paraId="0FD4E008" w14:textId="77777777" w:rsidR="00E31389" w:rsidRPr="00E31389" w:rsidRDefault="00E31389" w:rsidP="00E31389">
      <w:pPr>
        <w:tabs>
          <w:tab w:val="left" w:pos="1005"/>
        </w:tabs>
        <w:spacing w:line="360" w:lineRule="auto"/>
        <w:jc w:val="both"/>
        <w:rPr>
          <w:lang w:val="es-ES" w:eastAsia="es-ES"/>
        </w:rPr>
      </w:pPr>
      <w:r w:rsidRPr="00E31389">
        <w:rPr>
          <w:b/>
          <w:lang w:val="es-ES" w:eastAsia="es-ES"/>
        </w:rPr>
        <w:t>Métodos:</w:t>
      </w:r>
      <w:r w:rsidRPr="00E31389">
        <w:rPr>
          <w:lang w:val="es-ES" w:eastAsia="es-ES"/>
        </w:rPr>
        <w:t xml:space="preserve"> Estudio descriptivo, transversal en 14 pacientes en hemodiálisis, positivos al SARS-CoV-2. Los pacientes fueron diagnosticados positivos a través de la prueba de PCR-TR. Se identificó la fuente de infección y el cuadro clínico al momento del diagnóstico. A todos los pacientes se les realizaron complementarias iniciales. </w:t>
      </w:r>
    </w:p>
    <w:p w14:paraId="74A33FC9" w14:textId="77777777" w:rsidR="00E31389" w:rsidRPr="00E31389" w:rsidRDefault="00E31389" w:rsidP="00E31389">
      <w:pPr>
        <w:tabs>
          <w:tab w:val="left" w:pos="1005"/>
        </w:tabs>
        <w:spacing w:line="360" w:lineRule="auto"/>
        <w:jc w:val="both"/>
        <w:rPr>
          <w:lang w:val="es-ES" w:eastAsia="es-ES"/>
        </w:rPr>
      </w:pPr>
      <w:r w:rsidRPr="00E31389">
        <w:rPr>
          <w:b/>
          <w:lang w:val="es-ES" w:eastAsia="es-ES"/>
        </w:rPr>
        <w:t>Resultados:</w:t>
      </w:r>
      <w:r w:rsidRPr="00E31389">
        <w:rPr>
          <w:lang w:val="es-ES" w:eastAsia="es-ES"/>
        </w:rPr>
        <w:t xml:space="preserve"> El 92,8 % (13 pacientes) tuvo contacto previo con algún caso positivo. Al momento del diagnóstico 9 (64,28 %) pacientes presentaban síntomas. Predominó la disnea (8 pacientes), la fiebre y la tos seca (7 pacientes). Se apreció </w:t>
      </w:r>
      <w:proofErr w:type="spellStart"/>
      <w:r w:rsidRPr="00E31389">
        <w:rPr>
          <w:lang w:val="es-ES" w:eastAsia="es-ES"/>
        </w:rPr>
        <w:t>linfopenia</w:t>
      </w:r>
      <w:proofErr w:type="spellEnd"/>
      <w:r w:rsidRPr="00E31389">
        <w:rPr>
          <w:lang w:val="es-ES" w:eastAsia="es-ES"/>
        </w:rPr>
        <w:t xml:space="preserve"> con una media de 0,12 en los pacientes sintomáticos y </w:t>
      </w:r>
      <w:r w:rsidRPr="00E31389">
        <w:rPr>
          <w:lang w:val="es-ES" w:eastAsia="es-ES"/>
        </w:rPr>
        <w:lastRenderedPageBreak/>
        <w:t xml:space="preserve">0,31 en los asintomáticos. Existió un incremento de la media de ferritina de 3096 µg/L en los pacientes sintomáticos por 1001 µg/L en los asintomáticos, y de los valores de proteína C reactiva, con una media de 67 mg/L en los pacientes sintomáticos por 18,2 mg/L en los asintomáticos. </w:t>
      </w:r>
    </w:p>
    <w:p w14:paraId="35D2FAA8" w14:textId="77777777" w:rsidR="00E31389" w:rsidRPr="00E31389" w:rsidRDefault="00E31389" w:rsidP="00E31389">
      <w:pPr>
        <w:tabs>
          <w:tab w:val="left" w:pos="1005"/>
        </w:tabs>
        <w:spacing w:line="360" w:lineRule="auto"/>
        <w:jc w:val="both"/>
        <w:rPr>
          <w:lang w:val="es-ES" w:eastAsia="es-ES"/>
        </w:rPr>
      </w:pPr>
      <w:r w:rsidRPr="00E31389">
        <w:rPr>
          <w:b/>
          <w:lang w:val="es-ES" w:eastAsia="es-ES"/>
        </w:rPr>
        <w:t>Conclusiones:</w:t>
      </w:r>
      <w:r w:rsidRPr="00E31389">
        <w:rPr>
          <w:lang w:val="es-ES" w:eastAsia="es-ES"/>
        </w:rPr>
        <w:t xml:space="preserve"> En los pacientes con enfermedad renal crónica en hemodiálisis con la COVID-19, no se observaron diferencias en el sexo en cuanto a la sintomatología, existió </w:t>
      </w:r>
      <w:proofErr w:type="spellStart"/>
      <w:r w:rsidRPr="00E31389">
        <w:rPr>
          <w:lang w:val="es-ES" w:eastAsia="es-ES"/>
        </w:rPr>
        <w:t>linfopenia</w:t>
      </w:r>
      <w:proofErr w:type="spellEnd"/>
      <w:r w:rsidRPr="00E31389">
        <w:rPr>
          <w:lang w:val="es-ES" w:eastAsia="es-ES"/>
        </w:rPr>
        <w:t xml:space="preserve"> y presencia de marcadores inflamatorios elevados en el momento del diagnóstico, fundamentalmente en los pacientes sintomáticos.</w:t>
      </w:r>
    </w:p>
    <w:p w14:paraId="79E6C396" w14:textId="77777777" w:rsidR="00E31389" w:rsidRPr="00E31389" w:rsidRDefault="00E31389" w:rsidP="00E31389">
      <w:pPr>
        <w:spacing w:line="360" w:lineRule="auto"/>
        <w:jc w:val="both"/>
        <w:rPr>
          <w:bCs/>
          <w:lang w:val="es-ES" w:eastAsia="es-ES"/>
        </w:rPr>
      </w:pPr>
      <w:r w:rsidRPr="00E31389">
        <w:rPr>
          <w:b/>
          <w:lang w:val="es-ES" w:eastAsia="es-ES"/>
        </w:rPr>
        <w:t xml:space="preserve">Palabras clave: </w:t>
      </w:r>
      <w:r w:rsidRPr="00E31389">
        <w:rPr>
          <w:bCs/>
          <w:lang w:eastAsia="es-ES"/>
        </w:rPr>
        <w:t>SARS-CoV-2; COVID-19; enfermedad renal crónica; hemodiálisis.</w:t>
      </w:r>
    </w:p>
    <w:p w14:paraId="24EA596A" w14:textId="77777777" w:rsidR="00E31389" w:rsidRPr="00E31389" w:rsidRDefault="00E31389" w:rsidP="00E31389">
      <w:pPr>
        <w:spacing w:line="360" w:lineRule="auto"/>
        <w:jc w:val="both"/>
        <w:rPr>
          <w:lang w:val="es-ES" w:eastAsia="es-ES"/>
        </w:rPr>
      </w:pPr>
    </w:p>
    <w:p w14:paraId="4D74FE2A" w14:textId="77777777" w:rsidR="00E31389" w:rsidRPr="00E31389" w:rsidRDefault="00E31389" w:rsidP="00E31389">
      <w:pPr>
        <w:spacing w:line="360" w:lineRule="auto"/>
        <w:jc w:val="both"/>
        <w:rPr>
          <w:lang w:val="en" w:eastAsia="es-ES"/>
        </w:rPr>
      </w:pPr>
      <w:r w:rsidRPr="00E31389">
        <w:rPr>
          <w:b/>
          <w:lang w:val="en-US" w:eastAsia="es-ES"/>
        </w:rPr>
        <w:t>ABSTRACT</w:t>
      </w:r>
      <w:r w:rsidRPr="00E31389">
        <w:rPr>
          <w:lang w:val="en" w:eastAsia="es-ES"/>
        </w:rPr>
        <w:br/>
      </w:r>
      <w:r w:rsidRPr="00E31389">
        <w:rPr>
          <w:b/>
          <w:lang w:val="en" w:eastAsia="es-ES"/>
        </w:rPr>
        <w:t>Introduction:</w:t>
      </w:r>
      <w:r w:rsidRPr="00E31389">
        <w:rPr>
          <w:lang w:val="en" w:eastAsia="es-ES"/>
        </w:rPr>
        <w:t xml:space="preserve"> The recent SARS-CoV-2 coronavirus pandemic has had a significant impact on the general population. Hemodialysis patients due to their characteristics are especially vulnerable.</w:t>
      </w:r>
    </w:p>
    <w:p w14:paraId="3EE196BD" w14:textId="77777777" w:rsidR="00640ABC" w:rsidRPr="00095276" w:rsidRDefault="00E31389" w:rsidP="00640ABC">
      <w:pPr>
        <w:spacing w:line="360" w:lineRule="auto"/>
        <w:jc w:val="both"/>
        <w:rPr>
          <w:lang w:val="en" w:eastAsia="es-ES"/>
        </w:rPr>
      </w:pPr>
      <w:r w:rsidRPr="00E31389">
        <w:rPr>
          <w:b/>
          <w:lang w:val="en" w:eastAsia="es-ES"/>
        </w:rPr>
        <w:t>Objective:</w:t>
      </w:r>
      <w:r w:rsidRPr="00E31389">
        <w:rPr>
          <w:lang w:val="en" w:eastAsia="es-ES"/>
        </w:rPr>
        <w:t xml:space="preserve"> </w:t>
      </w:r>
      <w:r w:rsidR="00640ABC" w:rsidRPr="001F2BEB">
        <w:rPr>
          <w:lang w:val="en" w:eastAsia="es-ES"/>
        </w:rPr>
        <w:t>Specify the characteristics of patients with COVID-19, with chronic kidney disease, on hemodialysis.</w:t>
      </w:r>
    </w:p>
    <w:p w14:paraId="7C8AFCBD" w14:textId="6F60A75A" w:rsidR="00E31389" w:rsidRPr="00E31389" w:rsidRDefault="00E31389" w:rsidP="00E31389">
      <w:pPr>
        <w:spacing w:line="360" w:lineRule="auto"/>
        <w:jc w:val="both"/>
        <w:rPr>
          <w:lang w:val="en" w:eastAsia="es-ES"/>
        </w:rPr>
      </w:pPr>
      <w:r w:rsidRPr="00E31389">
        <w:rPr>
          <w:b/>
          <w:lang w:val="en" w:eastAsia="es-ES"/>
        </w:rPr>
        <w:t>Methods:</w:t>
      </w:r>
      <w:r w:rsidRPr="00E31389">
        <w:rPr>
          <w:lang w:val="en" w:eastAsia="es-ES"/>
        </w:rPr>
        <w:t xml:space="preserve"> Descriptive, cross-sectional study in 14 patients on hemodialysis positive for SARS-CoV-2. All the cases were diagnosed positive through the </w:t>
      </w:r>
      <w:proofErr w:type="spellStart"/>
      <w:r w:rsidRPr="00E31389">
        <w:rPr>
          <w:lang w:val="en" w:eastAsia="es-ES"/>
        </w:rPr>
        <w:t>rRT</w:t>
      </w:r>
      <w:proofErr w:type="spellEnd"/>
      <w:r w:rsidRPr="00E31389">
        <w:rPr>
          <w:lang w:val="en" w:eastAsia="es-ES"/>
        </w:rPr>
        <w:t>-PCR test. The source of infection and the clinical picture presented at the time of diagnosis were identified. All patients underwent blood tests at the beginning.</w:t>
      </w:r>
    </w:p>
    <w:p w14:paraId="7B0EE66D" w14:textId="77777777" w:rsidR="00E31389" w:rsidRPr="00E31389" w:rsidRDefault="00E31389" w:rsidP="00E31389">
      <w:pPr>
        <w:spacing w:line="360" w:lineRule="auto"/>
        <w:jc w:val="both"/>
        <w:rPr>
          <w:lang w:val="en" w:eastAsia="es-ES"/>
        </w:rPr>
      </w:pPr>
      <w:r w:rsidRPr="00E31389">
        <w:rPr>
          <w:b/>
          <w:lang w:val="en" w:eastAsia="es-ES"/>
        </w:rPr>
        <w:t xml:space="preserve">Results: </w:t>
      </w:r>
      <w:r w:rsidRPr="00E31389">
        <w:rPr>
          <w:lang w:val="en" w:eastAsia="es-ES"/>
        </w:rPr>
        <w:t xml:space="preserve">92.8% (13 patients) had previous contact with a positive case. At diagnosis 9 (64.28%) patients had symptoms and 5 (35.7%) were asymptomatic. Dyspnea (8 patients), fever and dry cough (7 patients) predominated. Lymphopenia was observed with an average of 0.12 in symptomatic patients, and 0.31 in asymptomatic patients. There was an increase in the mean ferritin of 3096 </w:t>
      </w:r>
      <w:r w:rsidRPr="00E31389">
        <w:rPr>
          <w:lang w:val="en-US" w:eastAsia="es-ES"/>
        </w:rPr>
        <w:t xml:space="preserve">µg/l </w:t>
      </w:r>
      <w:r w:rsidRPr="00E31389">
        <w:rPr>
          <w:lang w:val="en" w:eastAsia="es-ES"/>
        </w:rPr>
        <w:t xml:space="preserve">in symptomatic patients by 1001 </w:t>
      </w:r>
      <w:r w:rsidRPr="00E31389">
        <w:rPr>
          <w:lang w:val="en-US" w:eastAsia="es-ES"/>
        </w:rPr>
        <w:t xml:space="preserve">µg/l </w:t>
      </w:r>
      <w:r w:rsidRPr="00E31389">
        <w:rPr>
          <w:lang w:val="en" w:eastAsia="es-ES"/>
        </w:rPr>
        <w:t xml:space="preserve">in asymptomatic patients, and in C-reactive protein values, with an average of 67 </w:t>
      </w:r>
      <w:r w:rsidRPr="00E31389">
        <w:rPr>
          <w:lang w:val="en-US" w:eastAsia="es-ES"/>
        </w:rPr>
        <w:t>mg/l</w:t>
      </w:r>
      <w:r w:rsidRPr="00E31389">
        <w:rPr>
          <w:lang w:val="en" w:eastAsia="es-ES"/>
        </w:rPr>
        <w:t xml:space="preserve"> in symptomatic patients by 18.2 </w:t>
      </w:r>
      <w:r w:rsidRPr="00E31389">
        <w:rPr>
          <w:lang w:val="en-US" w:eastAsia="es-ES"/>
        </w:rPr>
        <w:t>mg/l</w:t>
      </w:r>
      <w:r w:rsidRPr="00E31389">
        <w:rPr>
          <w:lang w:val="en" w:eastAsia="es-ES"/>
        </w:rPr>
        <w:t xml:space="preserve"> in asymptomatic patients.</w:t>
      </w:r>
    </w:p>
    <w:p w14:paraId="05AAE8E6" w14:textId="77777777" w:rsidR="00E31389" w:rsidRPr="00E31389" w:rsidRDefault="00E31389" w:rsidP="00E31389">
      <w:pPr>
        <w:spacing w:line="360" w:lineRule="auto"/>
        <w:jc w:val="both"/>
        <w:rPr>
          <w:lang w:val="en-US" w:eastAsia="es-ES"/>
        </w:rPr>
      </w:pPr>
      <w:r w:rsidRPr="00E31389">
        <w:rPr>
          <w:b/>
          <w:lang w:val="en" w:eastAsia="es-ES"/>
        </w:rPr>
        <w:t>Conclusions:</w:t>
      </w:r>
      <w:r w:rsidRPr="00E31389">
        <w:rPr>
          <w:lang w:val="en" w:eastAsia="es-ES"/>
        </w:rPr>
        <w:t xml:space="preserve"> In the hemodialysis patients with chronic kidney disease diagnosed with COVID-19, there were no differences in sex in terms of symptoms, with lymphopenia and the presence of elevated inflammatory markers at the time of diagnosis, mainly in symptomatic patients.</w:t>
      </w:r>
    </w:p>
    <w:p w14:paraId="08B5786E" w14:textId="77777777" w:rsidR="00E31389" w:rsidRPr="00E31389" w:rsidRDefault="00E31389" w:rsidP="00E31389">
      <w:pPr>
        <w:spacing w:line="360" w:lineRule="auto"/>
        <w:jc w:val="both"/>
        <w:rPr>
          <w:lang w:val="en-US" w:eastAsia="es-ES"/>
        </w:rPr>
      </w:pPr>
      <w:r w:rsidRPr="00E31389">
        <w:rPr>
          <w:b/>
          <w:lang w:val="en-US" w:eastAsia="es-ES"/>
        </w:rPr>
        <w:t>Keywords:</w:t>
      </w:r>
      <w:r w:rsidRPr="00E31389">
        <w:rPr>
          <w:lang w:val="en-US" w:eastAsia="es-ES"/>
        </w:rPr>
        <w:t xml:space="preserve"> SARS-CoV-2; COVID-19; chronic kidney disease; hemodialysis.</w:t>
      </w:r>
    </w:p>
    <w:p w14:paraId="34D9C245" w14:textId="77777777" w:rsidR="00E31389" w:rsidRPr="00E31389" w:rsidRDefault="00E31389" w:rsidP="00E31389">
      <w:pPr>
        <w:spacing w:line="360" w:lineRule="auto"/>
        <w:jc w:val="both"/>
        <w:rPr>
          <w:lang w:val="en-US" w:eastAsia="es-ES"/>
        </w:rPr>
      </w:pPr>
    </w:p>
    <w:p w14:paraId="20FE8E49" w14:textId="77777777" w:rsidR="00E31389" w:rsidRPr="00E31389" w:rsidRDefault="00E31389" w:rsidP="00E31389">
      <w:pPr>
        <w:spacing w:line="360" w:lineRule="auto"/>
        <w:jc w:val="both"/>
        <w:rPr>
          <w:lang w:val="en-US" w:eastAsia="es-ES"/>
        </w:rPr>
      </w:pPr>
    </w:p>
    <w:p w14:paraId="60A5495B" w14:textId="77777777" w:rsidR="00E31389" w:rsidRPr="00E31389" w:rsidRDefault="00E31389" w:rsidP="00E31389">
      <w:pPr>
        <w:spacing w:line="360" w:lineRule="auto"/>
        <w:jc w:val="both"/>
        <w:rPr>
          <w:lang w:val="es-CU" w:eastAsia="es-ES"/>
        </w:rPr>
      </w:pPr>
      <w:r w:rsidRPr="00E31389">
        <w:rPr>
          <w:lang w:val="es-CU" w:eastAsia="es-ES"/>
        </w:rPr>
        <w:t>Recibido: 24/07/2020</w:t>
      </w:r>
    </w:p>
    <w:p w14:paraId="3FFC02CC" w14:textId="77777777" w:rsidR="00E31389" w:rsidRPr="00E31389" w:rsidRDefault="00E31389" w:rsidP="00E31389">
      <w:pPr>
        <w:spacing w:line="360" w:lineRule="auto"/>
        <w:jc w:val="both"/>
        <w:rPr>
          <w:lang w:val="es-CU" w:eastAsia="es-ES"/>
        </w:rPr>
      </w:pPr>
      <w:r w:rsidRPr="00E31389">
        <w:rPr>
          <w:lang w:val="es-CU" w:eastAsia="es-ES"/>
        </w:rPr>
        <w:t>Aprobado: 05/02/2020</w:t>
      </w:r>
    </w:p>
    <w:p w14:paraId="420424AD" w14:textId="77777777" w:rsidR="00E31389" w:rsidRPr="00E31389" w:rsidRDefault="00E31389" w:rsidP="00E31389">
      <w:pPr>
        <w:spacing w:line="360" w:lineRule="auto"/>
        <w:jc w:val="both"/>
        <w:rPr>
          <w:rFonts w:eastAsia="Calibri"/>
          <w:b/>
          <w:lang w:val="es-CU" w:eastAsia="en-US"/>
        </w:rPr>
      </w:pPr>
    </w:p>
    <w:p w14:paraId="33FFCF26" w14:textId="77777777" w:rsidR="00E31389" w:rsidRPr="00E31389" w:rsidRDefault="00E31389" w:rsidP="00E31389">
      <w:pPr>
        <w:spacing w:line="360" w:lineRule="auto"/>
        <w:jc w:val="both"/>
        <w:rPr>
          <w:rFonts w:eastAsia="Calibri"/>
          <w:b/>
          <w:lang w:val="es-ES" w:eastAsia="en-US"/>
        </w:rPr>
      </w:pPr>
    </w:p>
    <w:p w14:paraId="77BAB786" w14:textId="77777777" w:rsidR="00E31389" w:rsidRPr="00E31389" w:rsidRDefault="00E31389" w:rsidP="00E31389">
      <w:pPr>
        <w:spacing w:line="360" w:lineRule="auto"/>
        <w:jc w:val="center"/>
        <w:rPr>
          <w:rFonts w:eastAsia="Calibri"/>
          <w:b/>
          <w:sz w:val="32"/>
          <w:szCs w:val="32"/>
          <w:lang w:val="es-ES" w:eastAsia="en-US"/>
        </w:rPr>
      </w:pPr>
      <w:r w:rsidRPr="00E31389">
        <w:rPr>
          <w:rFonts w:eastAsia="Calibri"/>
          <w:b/>
          <w:sz w:val="32"/>
          <w:szCs w:val="32"/>
          <w:lang w:val="es-ES" w:eastAsia="en-US"/>
        </w:rPr>
        <w:t>INTRODUCCIÓN</w:t>
      </w:r>
    </w:p>
    <w:p w14:paraId="511F7DE6"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 xml:space="preserve">A finales de 2019, las autoridades de la República Popular China comunicaron a la Organización Mundial de la Salud varios casos de neumonía de etiología desconocida en Wuhan, una ciudad situada en la provincia china de Hubei. Más tarde se comprobó que se trataba de una infección ocasionada por un nuevo coronavirus denominado SARS-CoV-2. Este virus causa diversas manifestaciones clínicas englobadas bajo el término COVID-19, que incluyen cuadros respiratorios que varían desde el resfriado común hasta neumonías graves con síndrome de distrés respiratorio, </w:t>
      </w:r>
      <w:r w:rsidRPr="00E31389">
        <w:rPr>
          <w:rFonts w:eastAsia="Calibri"/>
          <w:i/>
          <w:lang w:val="es-ES" w:eastAsia="en-US"/>
        </w:rPr>
        <w:t>shock</w:t>
      </w:r>
      <w:r w:rsidRPr="00E31389">
        <w:rPr>
          <w:rFonts w:eastAsia="Calibri"/>
          <w:lang w:val="es-ES" w:eastAsia="en-US"/>
        </w:rPr>
        <w:t xml:space="preserve"> séptico y fallo </w:t>
      </w:r>
      <w:proofErr w:type="gramStart"/>
      <w:r w:rsidRPr="00E31389">
        <w:rPr>
          <w:rFonts w:eastAsia="Calibri"/>
          <w:lang w:val="es-ES" w:eastAsia="en-US"/>
        </w:rPr>
        <w:t>multiorgánico.</w:t>
      </w:r>
      <w:r w:rsidRPr="00E31389">
        <w:rPr>
          <w:rFonts w:eastAsia="Calibri"/>
          <w:vertAlign w:val="superscript"/>
          <w:lang w:val="es-ES" w:eastAsia="en-US"/>
        </w:rPr>
        <w:t>(</w:t>
      </w:r>
      <w:proofErr w:type="gramEnd"/>
      <w:r w:rsidRPr="00E31389">
        <w:rPr>
          <w:rFonts w:eastAsia="Calibri"/>
          <w:vertAlign w:val="superscript"/>
          <w:lang w:val="es-ES" w:eastAsia="en-US"/>
        </w:rPr>
        <w:t>1,2,3,4,5,6)</w:t>
      </w:r>
    </w:p>
    <w:p w14:paraId="402DC1E3"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La aparición de una pandemia como esta, ha obligado a prestar atención especial a grupos vulnerables de la población, y entre ellos están aquellos con enfermedad renal crónica (ERC), especialmente los pacientes en hemodiálisis.</w:t>
      </w:r>
    </w:p>
    <w:p w14:paraId="3673F96E"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 xml:space="preserve">La afectación renal aguda puede estar presente en estos pacientes. El 6,7 % de los pacientes con SARS tuvieron insuficiencia renal aguda, con una mortalidad del 91 %. La presencia de proteinuria, hematuria y creatinina basal elevadas, constituyen un mayor </w:t>
      </w:r>
      <w:proofErr w:type="gramStart"/>
      <w:r w:rsidRPr="00E31389">
        <w:rPr>
          <w:rFonts w:eastAsia="Calibri"/>
          <w:lang w:val="es-ES" w:eastAsia="en-US"/>
        </w:rPr>
        <w:t>riesgo.</w:t>
      </w:r>
      <w:r w:rsidRPr="00E31389">
        <w:rPr>
          <w:rFonts w:eastAsia="Calibri"/>
          <w:vertAlign w:val="superscript"/>
          <w:lang w:val="es-ES" w:eastAsia="en-US"/>
        </w:rPr>
        <w:t>(</w:t>
      </w:r>
      <w:proofErr w:type="gramEnd"/>
      <w:r w:rsidRPr="00E31389">
        <w:rPr>
          <w:rFonts w:eastAsia="Calibri"/>
          <w:vertAlign w:val="superscript"/>
          <w:lang w:val="es-ES" w:eastAsia="en-US"/>
        </w:rPr>
        <w:t>1)</w:t>
      </w:r>
    </w:p>
    <w:p w14:paraId="1A34D43E"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 xml:space="preserve">Es importante tener en cuenta que la presencia de enfermedad renal previa a la infección, representa un mayor riesgo de deterioro del paciente. Los pacientes en hemodiálisis son un grupo de alta vulnerabilidad, no solo por la insuficiencia renal, también porque la gran mayoría presentan otras múltiples </w:t>
      </w:r>
      <w:proofErr w:type="gramStart"/>
      <w:r w:rsidRPr="00E31389">
        <w:rPr>
          <w:rFonts w:eastAsia="Calibri"/>
          <w:lang w:val="es-ES" w:eastAsia="en-US"/>
        </w:rPr>
        <w:t>comorbilidades.</w:t>
      </w:r>
      <w:r w:rsidRPr="00E31389">
        <w:rPr>
          <w:rFonts w:eastAsia="Calibri"/>
          <w:vertAlign w:val="superscript"/>
          <w:lang w:val="es-ES" w:eastAsia="en-US"/>
        </w:rPr>
        <w:t>(</w:t>
      </w:r>
      <w:proofErr w:type="gramEnd"/>
      <w:r w:rsidRPr="00E31389">
        <w:rPr>
          <w:rFonts w:eastAsia="Calibri"/>
          <w:vertAlign w:val="superscript"/>
          <w:lang w:val="es-ES" w:eastAsia="en-US"/>
        </w:rPr>
        <w:t>1,6)</w:t>
      </w:r>
    </w:p>
    <w:p w14:paraId="77BF1BD9"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En Cuba desde el primer momento, se trazaron estrategias para la prevención y control de la pandemia, incluso mucho antes del diagnóstico de los primeros casos en el país. Se designaron instituciones para la atención de pacientes positivos al SARS-CoV-2, donde estaba incluida la atención a los pacientes en hemodiálisis que fueran diagnosticados con el virus.</w:t>
      </w:r>
    </w:p>
    <w:p w14:paraId="799C3F0D"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lastRenderedPageBreak/>
        <w:t xml:space="preserve">El interés fue lograr una primera casuística que pueda ser reportada tempranamente, para la divulgación dentro de la comunidad médica, con la esperanza de que esta experiencia ayude en la atención de futuros pacientes con esta enfermedad de base. </w:t>
      </w:r>
    </w:p>
    <w:p w14:paraId="0EB57971" w14:textId="77777777" w:rsidR="00626EFA" w:rsidRPr="00EE19BF" w:rsidRDefault="00626EFA" w:rsidP="00626EFA">
      <w:pPr>
        <w:spacing w:line="360" w:lineRule="auto"/>
        <w:jc w:val="both"/>
      </w:pPr>
      <w:r w:rsidRPr="00EE19BF">
        <w:t>El objetivo de este estudio</w:t>
      </w:r>
      <w:r>
        <w:t xml:space="preserve"> es e</w:t>
      </w:r>
      <w:r w:rsidRPr="003018BF">
        <w:t>specificar las características de pacientes con la COVID-19, portadores de enfermedad renal crónica, en régimen de hemodiálisis</w:t>
      </w:r>
      <w:r w:rsidRPr="00EE19BF">
        <w:t>.</w:t>
      </w:r>
    </w:p>
    <w:p w14:paraId="7A2BD339" w14:textId="3D4B5981" w:rsidR="00E31389" w:rsidRPr="00626EFA" w:rsidRDefault="00E31389" w:rsidP="00E31389">
      <w:pPr>
        <w:spacing w:line="360" w:lineRule="auto"/>
        <w:jc w:val="both"/>
        <w:rPr>
          <w:rFonts w:eastAsia="Calibri"/>
          <w:lang w:eastAsia="en-US"/>
        </w:rPr>
      </w:pPr>
    </w:p>
    <w:p w14:paraId="7E533B7F" w14:textId="77777777" w:rsidR="00E31389" w:rsidRPr="00E31389" w:rsidRDefault="00E31389" w:rsidP="00E31389">
      <w:pPr>
        <w:spacing w:line="360" w:lineRule="auto"/>
        <w:jc w:val="both"/>
        <w:rPr>
          <w:rFonts w:eastAsia="Calibri"/>
          <w:lang w:val="es-ES" w:eastAsia="en-US"/>
        </w:rPr>
      </w:pPr>
    </w:p>
    <w:p w14:paraId="5E0E93C4" w14:textId="77777777" w:rsidR="00E31389" w:rsidRPr="00E31389" w:rsidRDefault="00E31389" w:rsidP="00E31389">
      <w:pPr>
        <w:spacing w:line="360" w:lineRule="auto"/>
        <w:jc w:val="center"/>
        <w:rPr>
          <w:rFonts w:eastAsia="Calibri"/>
          <w:b/>
          <w:sz w:val="32"/>
          <w:szCs w:val="32"/>
          <w:lang w:val="es-ES" w:eastAsia="en-US"/>
        </w:rPr>
      </w:pPr>
      <w:r w:rsidRPr="00E31389">
        <w:rPr>
          <w:rFonts w:eastAsia="Calibri"/>
          <w:b/>
          <w:sz w:val="32"/>
          <w:szCs w:val="32"/>
          <w:lang w:val="es-ES" w:eastAsia="en-US"/>
        </w:rPr>
        <w:t>MÉTODOS</w:t>
      </w:r>
    </w:p>
    <w:p w14:paraId="7047A0DD"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 xml:space="preserve">Se realizó un estudio descriptivo, de corte transversal en 14 pacientes con enfermedad renal crónica, en hemodiálisis, positivos al SARS-CoV-2, atendidos en el Hospital Militar Central “Dr. Luis Díaz Soto”, desde el 11 de marzo hasta el 11 de junio de 2020. </w:t>
      </w:r>
    </w:p>
    <w:p w14:paraId="06F33640"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 xml:space="preserve">Fueron incluidos todos los pacientes con más de seis meses en régimen dialítico en el momento de ser diagnosticados con el SARS-CoV-2. Todos los casos fueron diagnosticados positivos para SARS-CoV-2 a través de la prueba molecular de </w:t>
      </w:r>
      <w:proofErr w:type="spellStart"/>
      <w:r w:rsidRPr="00E31389">
        <w:rPr>
          <w:rFonts w:eastAsia="Calibri"/>
          <w:i/>
          <w:lang w:val="es-ES" w:eastAsia="en-US"/>
        </w:rPr>
        <w:t>polimerase</w:t>
      </w:r>
      <w:proofErr w:type="spellEnd"/>
      <w:r w:rsidRPr="00E31389">
        <w:rPr>
          <w:rFonts w:eastAsia="Calibri"/>
          <w:i/>
          <w:lang w:val="es-ES" w:eastAsia="en-US"/>
        </w:rPr>
        <w:t xml:space="preserve"> </w:t>
      </w:r>
      <w:proofErr w:type="spellStart"/>
      <w:r w:rsidRPr="00E31389">
        <w:rPr>
          <w:rFonts w:eastAsia="Calibri"/>
          <w:i/>
          <w:lang w:val="es-ES" w:eastAsia="en-US"/>
        </w:rPr>
        <w:t>chain</w:t>
      </w:r>
      <w:proofErr w:type="spellEnd"/>
      <w:r w:rsidRPr="00E31389">
        <w:rPr>
          <w:rFonts w:eastAsia="Calibri"/>
          <w:i/>
          <w:lang w:val="es-ES" w:eastAsia="en-US"/>
        </w:rPr>
        <w:t xml:space="preserve"> </w:t>
      </w:r>
      <w:proofErr w:type="spellStart"/>
      <w:r w:rsidRPr="00E31389">
        <w:rPr>
          <w:rFonts w:eastAsia="Calibri"/>
          <w:i/>
          <w:lang w:val="es-ES" w:eastAsia="en-US"/>
        </w:rPr>
        <w:t>reaction</w:t>
      </w:r>
      <w:proofErr w:type="spellEnd"/>
      <w:r w:rsidRPr="00E31389">
        <w:rPr>
          <w:rFonts w:eastAsia="Calibri"/>
          <w:i/>
          <w:lang w:val="es-ES" w:eastAsia="en-US"/>
        </w:rPr>
        <w:t xml:space="preserve"> – real time </w:t>
      </w:r>
      <w:r w:rsidRPr="00E31389">
        <w:rPr>
          <w:rFonts w:eastAsia="Calibri"/>
          <w:lang w:val="es-ES" w:eastAsia="en-US"/>
        </w:rPr>
        <w:t xml:space="preserve">(PCR-TR). </w:t>
      </w:r>
    </w:p>
    <w:p w14:paraId="3B74E162"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 xml:space="preserve">Se registraron las características demográficas, se determinó la fuente de infección, así como los síntomas y signos al momento del diagnóstico. </w:t>
      </w:r>
    </w:p>
    <w:p w14:paraId="0DF745EB"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 xml:space="preserve">A todos los pacientes se les realizaron complementarias iniciales, con las técnicas para su medición, en un auto analizador Hitachi modelo 902, se midieron en el suero los niveles de leucocitos, ferritina, </w:t>
      </w:r>
      <w:proofErr w:type="gramStart"/>
      <w:r w:rsidRPr="00E31389">
        <w:rPr>
          <w:rFonts w:eastAsia="Calibri"/>
          <w:lang w:val="es-ES" w:eastAsia="en-US"/>
        </w:rPr>
        <w:t>transaminasa glutámico</w:t>
      </w:r>
      <w:proofErr w:type="gramEnd"/>
      <w:r w:rsidRPr="00E31389">
        <w:rPr>
          <w:rFonts w:eastAsia="Calibri"/>
          <w:lang w:val="es-ES" w:eastAsia="en-US"/>
        </w:rPr>
        <w:t xml:space="preserve"> </w:t>
      </w:r>
      <w:proofErr w:type="spellStart"/>
      <w:r w:rsidRPr="00E31389">
        <w:rPr>
          <w:rFonts w:eastAsia="Calibri"/>
          <w:lang w:val="es-ES" w:eastAsia="en-US"/>
        </w:rPr>
        <w:t>oxalacética</w:t>
      </w:r>
      <w:proofErr w:type="spellEnd"/>
      <w:r w:rsidRPr="00E31389">
        <w:rPr>
          <w:rFonts w:eastAsia="Calibri"/>
          <w:lang w:val="es-ES" w:eastAsia="en-US"/>
        </w:rPr>
        <w:t xml:space="preserve"> (TGO), transaminasa glutámico pirúvica (TGP) y proteína C reactiva.</w:t>
      </w:r>
    </w:p>
    <w:p w14:paraId="62420FA0"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 xml:space="preserve">Se determinaron la media y la desviación estándar de los complementarios iniciales. Los resultados se expusieron en tablas y gráficos para su mejor análisis.  </w:t>
      </w:r>
    </w:p>
    <w:p w14:paraId="1B5E635D" w14:textId="77777777" w:rsidR="00E31389" w:rsidRPr="00E31389" w:rsidRDefault="00E31389" w:rsidP="00E31389">
      <w:pPr>
        <w:spacing w:line="360" w:lineRule="auto"/>
        <w:jc w:val="both"/>
        <w:rPr>
          <w:rFonts w:eastAsia="Calibri"/>
          <w:lang w:eastAsia="en-US"/>
        </w:rPr>
      </w:pPr>
    </w:p>
    <w:p w14:paraId="0F16B264" w14:textId="77777777" w:rsidR="00E31389" w:rsidRPr="00E31389" w:rsidRDefault="00E31389" w:rsidP="00E31389">
      <w:pPr>
        <w:spacing w:line="360" w:lineRule="auto"/>
        <w:jc w:val="both"/>
        <w:rPr>
          <w:rFonts w:eastAsia="Calibri"/>
          <w:b/>
          <w:lang w:eastAsia="en-US"/>
        </w:rPr>
      </w:pPr>
    </w:p>
    <w:p w14:paraId="74C6645E" w14:textId="77777777" w:rsidR="00E31389" w:rsidRPr="00E31389" w:rsidRDefault="00E31389" w:rsidP="00E31389">
      <w:pPr>
        <w:spacing w:line="360" w:lineRule="auto"/>
        <w:jc w:val="center"/>
        <w:rPr>
          <w:rFonts w:eastAsia="Calibri"/>
          <w:b/>
          <w:sz w:val="32"/>
          <w:szCs w:val="32"/>
          <w:lang w:eastAsia="en-US"/>
        </w:rPr>
      </w:pPr>
      <w:r w:rsidRPr="00E31389">
        <w:rPr>
          <w:rFonts w:eastAsia="Calibri"/>
          <w:b/>
          <w:sz w:val="32"/>
          <w:szCs w:val="32"/>
          <w:lang w:eastAsia="en-US"/>
        </w:rPr>
        <w:t>RESULTADOS</w:t>
      </w:r>
    </w:p>
    <w:p w14:paraId="7A055345" w14:textId="77777777" w:rsidR="00E31389" w:rsidRPr="00E31389" w:rsidRDefault="00E31389" w:rsidP="00E31389">
      <w:pPr>
        <w:spacing w:line="360" w:lineRule="auto"/>
        <w:jc w:val="both"/>
        <w:rPr>
          <w:rFonts w:eastAsia="Calibri"/>
          <w:lang w:val="es-ES" w:eastAsia="en-US"/>
        </w:rPr>
      </w:pPr>
      <w:r w:rsidRPr="00E31389">
        <w:rPr>
          <w:rFonts w:eastAsia="Calibri"/>
          <w:lang w:val="es-ES" w:eastAsia="en-US"/>
        </w:rPr>
        <w:t>En la serie estudiada, como se ilustra en la tabla 1, predominaron los pacientes masculinos, para un 57,1 %; el 78 % presentaba más de 45 años, dado por 6 (42,8 %) pacientes entre 45 y 64 años y 5 (35,</w:t>
      </w:r>
      <w:proofErr w:type="gramStart"/>
      <w:r w:rsidRPr="00E31389">
        <w:rPr>
          <w:rFonts w:eastAsia="Calibri"/>
          <w:lang w:val="es-ES" w:eastAsia="en-US"/>
        </w:rPr>
        <w:t>7  %</w:t>
      </w:r>
      <w:proofErr w:type="gramEnd"/>
      <w:r w:rsidRPr="00E31389">
        <w:rPr>
          <w:rFonts w:eastAsia="Calibri"/>
          <w:lang w:val="es-ES" w:eastAsia="en-US"/>
        </w:rPr>
        <w:t xml:space="preserve">) quienes presentaban 65 o más años en el momento del diagnóstico. </w:t>
      </w:r>
    </w:p>
    <w:p w14:paraId="39587846" w14:textId="77777777" w:rsidR="00E31389" w:rsidRPr="00E31389" w:rsidRDefault="00E31389" w:rsidP="00E31389">
      <w:pPr>
        <w:spacing w:line="360" w:lineRule="auto"/>
        <w:jc w:val="both"/>
        <w:rPr>
          <w:rFonts w:eastAsia="Calibri"/>
          <w:sz w:val="22"/>
          <w:szCs w:val="22"/>
          <w:lang w:eastAsia="en-US"/>
        </w:rPr>
      </w:pPr>
    </w:p>
    <w:p w14:paraId="120AF92A" w14:textId="7A761C97" w:rsidR="00E31389" w:rsidRPr="00E31389" w:rsidRDefault="00E31389" w:rsidP="00E31389">
      <w:pPr>
        <w:keepNext/>
        <w:spacing w:after="200"/>
        <w:jc w:val="center"/>
        <w:rPr>
          <w:rFonts w:eastAsia="Calibri"/>
          <w:b/>
          <w:bCs/>
          <w:sz w:val="22"/>
          <w:szCs w:val="22"/>
          <w:lang w:val="es-ES" w:eastAsia="en-US"/>
        </w:rPr>
      </w:pPr>
      <w:r w:rsidRPr="00E31389">
        <w:rPr>
          <w:rFonts w:eastAsia="Calibri"/>
          <w:b/>
          <w:bCs/>
          <w:sz w:val="22"/>
          <w:szCs w:val="22"/>
          <w:lang w:val="es-ES" w:eastAsia="en-US"/>
        </w:rPr>
        <w:lastRenderedPageBreak/>
        <w:t xml:space="preserve">Tabla </w:t>
      </w:r>
      <w:r w:rsidRPr="00E31389">
        <w:rPr>
          <w:rFonts w:eastAsia="Calibri"/>
          <w:b/>
          <w:bCs/>
          <w:sz w:val="22"/>
          <w:szCs w:val="22"/>
          <w:lang w:val="es-ES" w:eastAsia="en-US"/>
        </w:rPr>
        <w:fldChar w:fldCharType="begin"/>
      </w:r>
      <w:r w:rsidRPr="00E31389">
        <w:rPr>
          <w:rFonts w:eastAsia="Calibri"/>
          <w:b/>
          <w:bCs/>
          <w:sz w:val="22"/>
          <w:szCs w:val="22"/>
          <w:lang w:val="es-ES" w:eastAsia="en-US"/>
        </w:rPr>
        <w:instrText xml:space="preserve"> SEQ Tabla \* ARABIC </w:instrText>
      </w:r>
      <w:r w:rsidRPr="00E31389">
        <w:rPr>
          <w:rFonts w:eastAsia="Calibri"/>
          <w:b/>
          <w:bCs/>
          <w:sz w:val="22"/>
          <w:szCs w:val="22"/>
          <w:lang w:val="es-ES" w:eastAsia="en-US"/>
        </w:rPr>
        <w:fldChar w:fldCharType="separate"/>
      </w:r>
      <w:r w:rsidR="00F50FCC">
        <w:rPr>
          <w:rFonts w:eastAsia="Calibri"/>
          <w:b/>
          <w:bCs/>
          <w:noProof/>
          <w:sz w:val="22"/>
          <w:szCs w:val="22"/>
          <w:lang w:val="es-ES" w:eastAsia="en-US"/>
        </w:rPr>
        <w:t>1</w:t>
      </w:r>
      <w:r w:rsidRPr="00E31389">
        <w:rPr>
          <w:rFonts w:eastAsia="Calibri"/>
          <w:b/>
          <w:bCs/>
          <w:sz w:val="22"/>
          <w:szCs w:val="22"/>
          <w:lang w:val="es-ES" w:eastAsia="en-US"/>
        </w:rPr>
        <w:fldChar w:fldCharType="end"/>
      </w:r>
      <w:r w:rsidRPr="00E31389">
        <w:rPr>
          <w:rFonts w:eastAsia="Calibri"/>
          <w:b/>
          <w:bCs/>
          <w:sz w:val="22"/>
          <w:szCs w:val="22"/>
          <w:lang w:val="es-ES" w:eastAsia="en-US"/>
        </w:rPr>
        <w:t xml:space="preserve"> - </w:t>
      </w:r>
      <w:r w:rsidRPr="00E31389">
        <w:rPr>
          <w:rFonts w:eastAsia="Calibri"/>
          <w:bCs/>
          <w:sz w:val="22"/>
          <w:szCs w:val="22"/>
          <w:lang w:val="es-ES" w:eastAsia="en-US"/>
        </w:rPr>
        <w:t>Variables sociodemográficas</w:t>
      </w:r>
    </w:p>
    <w:p w14:paraId="4A056AAB" w14:textId="66238377" w:rsidR="00E31389" w:rsidRPr="000F38A5" w:rsidRDefault="000F38A5" w:rsidP="00E31389">
      <w:pPr>
        <w:spacing w:line="360" w:lineRule="auto"/>
        <w:jc w:val="center"/>
        <w:rPr>
          <w:rFonts w:eastAsia="Calibri"/>
          <w:lang w:val="es-ES" w:eastAsia="en-US"/>
        </w:rPr>
      </w:pPr>
      <w:r>
        <w:rPr>
          <w:rFonts w:eastAsia="Calibri"/>
          <w:noProof/>
          <w:lang w:val="es-ES" w:eastAsia="en-US"/>
        </w:rPr>
        <w:drawing>
          <wp:inline distT="0" distB="0" distL="0" distR="0" wp14:anchorId="7B775773" wp14:editId="044418BD">
            <wp:extent cx="5153025" cy="1247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5">
                      <a:extLst>
                        <a:ext uri="{28A0092B-C50C-407E-A947-70E740481C1C}">
                          <a14:useLocalDpi xmlns:a14="http://schemas.microsoft.com/office/drawing/2010/main" val="0"/>
                        </a:ext>
                      </a:extLst>
                    </a:blip>
                    <a:stretch>
                      <a:fillRect/>
                    </a:stretch>
                  </pic:blipFill>
                  <pic:spPr>
                    <a:xfrm>
                      <a:off x="0" y="0"/>
                      <a:ext cx="5153025" cy="1247775"/>
                    </a:xfrm>
                    <a:prstGeom prst="rect">
                      <a:avLst/>
                    </a:prstGeom>
                  </pic:spPr>
                </pic:pic>
              </a:graphicData>
            </a:graphic>
          </wp:inline>
        </w:drawing>
      </w:r>
    </w:p>
    <w:p w14:paraId="4CD9F49E" w14:textId="77777777" w:rsidR="00E31389" w:rsidRPr="00E31389" w:rsidRDefault="00E31389" w:rsidP="00E31389">
      <w:pPr>
        <w:spacing w:line="360" w:lineRule="auto"/>
        <w:jc w:val="both"/>
        <w:rPr>
          <w:rFonts w:eastAsia="Calibri"/>
          <w:lang w:eastAsia="en-US"/>
        </w:rPr>
      </w:pPr>
    </w:p>
    <w:p w14:paraId="608A2AB6" w14:textId="77777777" w:rsidR="00E31389" w:rsidRPr="00E31389" w:rsidRDefault="00E31389" w:rsidP="00E31389">
      <w:pPr>
        <w:spacing w:line="360" w:lineRule="auto"/>
        <w:jc w:val="both"/>
        <w:rPr>
          <w:rFonts w:eastAsia="Calibri"/>
          <w:lang w:eastAsia="en-US"/>
        </w:rPr>
      </w:pPr>
      <w:r w:rsidRPr="00E31389">
        <w:rPr>
          <w:rFonts w:eastAsia="Calibri"/>
          <w:lang w:eastAsia="en-US"/>
        </w:rPr>
        <w:t xml:space="preserve">En el caso de los pacientes atendidos al analizar la fuente de infección (tabla 2), el 92,8 % (13), tuvo contacto previo con algún caso positivo, solo 1 paciente presentó fuente de infección en el extranjero. Al momento del diagnóstico, 9 (64,28 %) pacientes presentaban síntomas y 5 (35,7 %) fueron asintomáticos. </w:t>
      </w:r>
    </w:p>
    <w:p w14:paraId="2F9575BD" w14:textId="77777777" w:rsidR="00E31389" w:rsidRPr="00E31389" w:rsidRDefault="00E31389" w:rsidP="00E31389">
      <w:pPr>
        <w:spacing w:line="360" w:lineRule="auto"/>
        <w:jc w:val="both"/>
        <w:rPr>
          <w:rFonts w:eastAsia="Calibri"/>
          <w:lang w:eastAsia="en-US"/>
        </w:rPr>
      </w:pPr>
      <w:r w:rsidRPr="00E31389">
        <w:rPr>
          <w:rFonts w:eastAsia="Calibri"/>
          <w:lang w:eastAsia="en-US"/>
        </w:rPr>
        <w:t xml:space="preserve">  </w:t>
      </w:r>
    </w:p>
    <w:p w14:paraId="13D2A389" w14:textId="6046C668" w:rsidR="00E31389" w:rsidRPr="00E31389" w:rsidRDefault="00E31389" w:rsidP="00E31389">
      <w:pPr>
        <w:keepNext/>
        <w:spacing w:after="200"/>
        <w:jc w:val="center"/>
        <w:rPr>
          <w:rFonts w:eastAsia="Calibri"/>
          <w:b/>
          <w:bCs/>
          <w:sz w:val="22"/>
          <w:szCs w:val="22"/>
          <w:lang w:val="es-ES" w:eastAsia="en-US"/>
        </w:rPr>
      </w:pPr>
      <w:r w:rsidRPr="00E31389">
        <w:rPr>
          <w:rFonts w:eastAsia="Calibri"/>
          <w:b/>
          <w:bCs/>
          <w:sz w:val="22"/>
          <w:szCs w:val="22"/>
          <w:lang w:val="es-ES" w:eastAsia="en-US"/>
        </w:rPr>
        <w:t xml:space="preserve">Tabla </w:t>
      </w:r>
      <w:r w:rsidRPr="00E31389">
        <w:rPr>
          <w:rFonts w:eastAsia="Calibri"/>
          <w:b/>
          <w:bCs/>
          <w:sz w:val="22"/>
          <w:szCs w:val="22"/>
          <w:lang w:val="es-ES" w:eastAsia="en-US"/>
        </w:rPr>
        <w:fldChar w:fldCharType="begin"/>
      </w:r>
      <w:r w:rsidRPr="00E31389">
        <w:rPr>
          <w:rFonts w:eastAsia="Calibri"/>
          <w:b/>
          <w:bCs/>
          <w:sz w:val="22"/>
          <w:szCs w:val="22"/>
          <w:lang w:val="es-ES" w:eastAsia="en-US"/>
        </w:rPr>
        <w:instrText xml:space="preserve"> SEQ Tabla \* ARABIC </w:instrText>
      </w:r>
      <w:r w:rsidRPr="00E31389">
        <w:rPr>
          <w:rFonts w:eastAsia="Calibri"/>
          <w:b/>
          <w:bCs/>
          <w:sz w:val="22"/>
          <w:szCs w:val="22"/>
          <w:lang w:val="es-ES" w:eastAsia="en-US"/>
        </w:rPr>
        <w:fldChar w:fldCharType="separate"/>
      </w:r>
      <w:r w:rsidR="00F50FCC">
        <w:rPr>
          <w:rFonts w:eastAsia="Calibri"/>
          <w:b/>
          <w:bCs/>
          <w:noProof/>
          <w:sz w:val="22"/>
          <w:szCs w:val="22"/>
          <w:lang w:val="es-ES" w:eastAsia="en-US"/>
        </w:rPr>
        <w:t>2</w:t>
      </w:r>
      <w:r w:rsidRPr="00E31389">
        <w:rPr>
          <w:rFonts w:eastAsia="Calibri"/>
          <w:b/>
          <w:bCs/>
          <w:sz w:val="22"/>
          <w:szCs w:val="22"/>
          <w:lang w:val="es-ES" w:eastAsia="en-US"/>
        </w:rPr>
        <w:fldChar w:fldCharType="end"/>
      </w:r>
      <w:r w:rsidRPr="00E31389">
        <w:rPr>
          <w:rFonts w:eastAsia="Calibri"/>
          <w:b/>
          <w:bCs/>
          <w:sz w:val="22"/>
          <w:szCs w:val="22"/>
          <w:lang w:val="es-ES" w:eastAsia="en-US"/>
        </w:rPr>
        <w:t xml:space="preserve"> - </w:t>
      </w:r>
      <w:r w:rsidRPr="00E31389">
        <w:rPr>
          <w:rFonts w:eastAsia="Calibri"/>
          <w:bCs/>
          <w:sz w:val="22"/>
          <w:szCs w:val="22"/>
          <w:lang w:val="es-ES" w:eastAsia="en-US"/>
        </w:rPr>
        <w:t>Características clínico epidemiológicas (n = 14)</w:t>
      </w:r>
    </w:p>
    <w:p w14:paraId="12D88A60" w14:textId="423A5FA6" w:rsidR="00E31389" w:rsidRPr="00E31389" w:rsidRDefault="00E31389" w:rsidP="00E31389">
      <w:pPr>
        <w:spacing w:line="360" w:lineRule="auto"/>
        <w:jc w:val="center"/>
        <w:rPr>
          <w:rFonts w:eastAsia="Calibri"/>
          <w:lang w:eastAsia="en-US"/>
        </w:rPr>
      </w:pPr>
      <w:r w:rsidRPr="00E31389">
        <w:rPr>
          <w:rFonts w:eastAsia="Calibri"/>
          <w:noProof/>
          <w:lang w:eastAsia="en-US"/>
        </w:rPr>
        <w:drawing>
          <wp:inline distT="0" distB="0" distL="0" distR="0" wp14:anchorId="32C5B542" wp14:editId="35D18725">
            <wp:extent cx="3848100" cy="1257300"/>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1257300"/>
                    </a:xfrm>
                    <a:prstGeom prst="rect">
                      <a:avLst/>
                    </a:prstGeom>
                    <a:noFill/>
                    <a:ln>
                      <a:noFill/>
                    </a:ln>
                  </pic:spPr>
                </pic:pic>
              </a:graphicData>
            </a:graphic>
          </wp:inline>
        </w:drawing>
      </w:r>
    </w:p>
    <w:p w14:paraId="184142EB" w14:textId="77777777" w:rsidR="00E31389" w:rsidRPr="00E31389" w:rsidRDefault="00E31389" w:rsidP="00E31389">
      <w:pPr>
        <w:spacing w:line="360" w:lineRule="auto"/>
        <w:jc w:val="both"/>
        <w:rPr>
          <w:rFonts w:eastAsia="Calibri"/>
          <w:lang w:eastAsia="en-US"/>
        </w:rPr>
      </w:pPr>
    </w:p>
    <w:p w14:paraId="1AB0F423" w14:textId="77777777" w:rsidR="00E31389" w:rsidRPr="00E31389" w:rsidRDefault="00E31389" w:rsidP="00E31389">
      <w:pPr>
        <w:spacing w:line="360" w:lineRule="auto"/>
        <w:jc w:val="both"/>
        <w:rPr>
          <w:rFonts w:eastAsia="Calibri"/>
          <w:noProof/>
          <w:lang w:val="es-ES" w:eastAsia="es-ES"/>
        </w:rPr>
      </w:pPr>
      <w:r w:rsidRPr="00E31389">
        <w:rPr>
          <w:rFonts w:eastAsia="Calibri"/>
          <w:lang w:eastAsia="en-US"/>
        </w:rPr>
        <w:t>En cuanto a la frecuencia de síntomas y signos constatados, como muestra la figura 1, predominó la disnea (8 pacientes), la fiebre y la tos seca, ambos observados en 7 pacientes.</w:t>
      </w:r>
      <w:r w:rsidRPr="00E31389">
        <w:rPr>
          <w:rFonts w:eastAsia="Calibri"/>
          <w:noProof/>
          <w:lang w:val="es-ES" w:eastAsia="es-ES"/>
        </w:rPr>
        <w:t xml:space="preserve"> </w:t>
      </w:r>
    </w:p>
    <w:p w14:paraId="11929020" w14:textId="77777777" w:rsidR="00E31389" w:rsidRPr="00E31389" w:rsidRDefault="00E31389" w:rsidP="00E31389">
      <w:pPr>
        <w:spacing w:line="360" w:lineRule="auto"/>
        <w:jc w:val="both"/>
        <w:rPr>
          <w:rFonts w:eastAsia="Calibri"/>
          <w:noProof/>
          <w:lang w:val="es-ES" w:eastAsia="es-ES"/>
        </w:rPr>
      </w:pPr>
    </w:p>
    <w:p w14:paraId="3EAFD1F3" w14:textId="0A7BA546" w:rsidR="00E31389" w:rsidRPr="00E31389" w:rsidRDefault="00E31389" w:rsidP="00E31389">
      <w:pPr>
        <w:spacing w:line="360" w:lineRule="auto"/>
        <w:jc w:val="center"/>
        <w:rPr>
          <w:rFonts w:eastAsia="Calibri"/>
          <w:noProof/>
          <w:lang w:val="es-ES" w:eastAsia="es-ES"/>
        </w:rPr>
      </w:pPr>
      <w:r w:rsidRPr="00E31389">
        <w:rPr>
          <w:rFonts w:eastAsia="Calibri"/>
          <w:noProof/>
          <w:lang w:val="es-ES" w:eastAsia="es-ES"/>
        </w:rPr>
        <w:lastRenderedPageBreak/>
        <w:drawing>
          <wp:inline distT="0" distB="0" distL="0" distR="0" wp14:anchorId="1BF43F10" wp14:editId="3EE24B9D">
            <wp:extent cx="4229100" cy="443865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4438650"/>
                    </a:xfrm>
                    <a:prstGeom prst="rect">
                      <a:avLst/>
                    </a:prstGeom>
                    <a:noFill/>
                    <a:ln>
                      <a:noFill/>
                    </a:ln>
                  </pic:spPr>
                </pic:pic>
              </a:graphicData>
            </a:graphic>
          </wp:inline>
        </w:drawing>
      </w:r>
    </w:p>
    <w:p w14:paraId="7A162533" w14:textId="4FEE0DF7" w:rsidR="00E31389" w:rsidRPr="00E31389" w:rsidRDefault="00E31389" w:rsidP="00E31389">
      <w:pPr>
        <w:spacing w:after="200"/>
        <w:jc w:val="center"/>
        <w:rPr>
          <w:rFonts w:eastAsia="Calibri"/>
          <w:bCs/>
          <w:sz w:val="22"/>
          <w:szCs w:val="22"/>
          <w:lang w:val="es-ES" w:eastAsia="en-US"/>
        </w:rPr>
      </w:pPr>
      <w:r w:rsidRPr="00E31389">
        <w:rPr>
          <w:rFonts w:eastAsia="Calibri"/>
          <w:b/>
          <w:bCs/>
          <w:sz w:val="22"/>
          <w:szCs w:val="22"/>
          <w:lang w:val="es-ES" w:eastAsia="en-US"/>
        </w:rPr>
        <w:t xml:space="preserve">Fig. </w:t>
      </w:r>
      <w:r w:rsidRPr="00E31389">
        <w:rPr>
          <w:rFonts w:eastAsia="Calibri"/>
          <w:b/>
          <w:bCs/>
          <w:sz w:val="22"/>
          <w:szCs w:val="22"/>
          <w:lang w:val="es-ES" w:eastAsia="en-US"/>
        </w:rPr>
        <w:fldChar w:fldCharType="begin"/>
      </w:r>
      <w:r w:rsidRPr="00E31389">
        <w:rPr>
          <w:rFonts w:eastAsia="Calibri"/>
          <w:b/>
          <w:bCs/>
          <w:sz w:val="22"/>
          <w:szCs w:val="22"/>
          <w:lang w:val="es-ES" w:eastAsia="en-US"/>
        </w:rPr>
        <w:instrText xml:space="preserve"> SEQ Gráfico \* ARABIC </w:instrText>
      </w:r>
      <w:r w:rsidRPr="00E31389">
        <w:rPr>
          <w:rFonts w:eastAsia="Calibri"/>
          <w:b/>
          <w:bCs/>
          <w:sz w:val="22"/>
          <w:szCs w:val="22"/>
          <w:lang w:val="es-ES" w:eastAsia="en-US"/>
        </w:rPr>
        <w:fldChar w:fldCharType="separate"/>
      </w:r>
      <w:r w:rsidR="00F50FCC">
        <w:rPr>
          <w:rFonts w:eastAsia="Calibri"/>
          <w:b/>
          <w:bCs/>
          <w:noProof/>
          <w:sz w:val="22"/>
          <w:szCs w:val="22"/>
          <w:lang w:val="es-ES" w:eastAsia="en-US"/>
        </w:rPr>
        <w:t>1</w:t>
      </w:r>
      <w:r w:rsidRPr="00E31389">
        <w:rPr>
          <w:rFonts w:eastAsia="Calibri"/>
          <w:b/>
          <w:bCs/>
          <w:sz w:val="22"/>
          <w:szCs w:val="22"/>
          <w:lang w:val="es-ES" w:eastAsia="en-US"/>
        </w:rPr>
        <w:fldChar w:fldCharType="end"/>
      </w:r>
      <w:r w:rsidRPr="00E31389">
        <w:rPr>
          <w:rFonts w:eastAsia="Calibri"/>
          <w:b/>
          <w:bCs/>
          <w:sz w:val="22"/>
          <w:szCs w:val="22"/>
          <w:lang w:val="es-ES" w:eastAsia="en-US"/>
        </w:rPr>
        <w:t xml:space="preserve"> - </w:t>
      </w:r>
      <w:r w:rsidRPr="00E31389">
        <w:rPr>
          <w:rFonts w:eastAsia="Calibri"/>
          <w:bCs/>
          <w:sz w:val="22"/>
          <w:szCs w:val="22"/>
          <w:lang w:val="es-ES" w:eastAsia="en-US"/>
        </w:rPr>
        <w:t>Frecuencia de síntomas y signos.</w:t>
      </w:r>
    </w:p>
    <w:p w14:paraId="3E9E1222" w14:textId="77777777" w:rsidR="00E31389" w:rsidRPr="00E31389" w:rsidRDefault="00E31389" w:rsidP="00E31389">
      <w:pPr>
        <w:spacing w:after="160" w:line="256" w:lineRule="auto"/>
        <w:jc w:val="both"/>
        <w:rPr>
          <w:rFonts w:eastAsia="Calibri"/>
          <w:sz w:val="20"/>
          <w:szCs w:val="20"/>
          <w:lang w:val="es-ES" w:eastAsia="en-US"/>
        </w:rPr>
      </w:pPr>
    </w:p>
    <w:p w14:paraId="512A7EE3" w14:textId="77777777" w:rsidR="00E31389" w:rsidRPr="00E31389" w:rsidRDefault="00E31389" w:rsidP="00E31389">
      <w:pPr>
        <w:spacing w:line="360" w:lineRule="auto"/>
        <w:jc w:val="both"/>
        <w:rPr>
          <w:rFonts w:eastAsia="Calibri"/>
          <w:lang w:eastAsia="en-US"/>
        </w:rPr>
      </w:pPr>
      <w:r w:rsidRPr="00E31389">
        <w:rPr>
          <w:rFonts w:eastAsia="Calibri"/>
          <w:lang w:eastAsia="en-US"/>
        </w:rPr>
        <w:t>La figura 2 muestra la distribución de síntomas y signos por sexos. Se observa que en las mujeres predominaron la congestión nasal y la disnea en 4 pacientes, y 3 presentaron fiebre. En el caso de los pacientes masculinos, predominó la tos seca en 5 enfermos, y la disnea y la fiebre en 4 de ellos.</w:t>
      </w:r>
    </w:p>
    <w:p w14:paraId="6652B0D1" w14:textId="77777777" w:rsidR="00E31389" w:rsidRPr="00E31389" w:rsidRDefault="00E31389" w:rsidP="00E31389">
      <w:pPr>
        <w:spacing w:line="360" w:lineRule="auto"/>
        <w:jc w:val="both"/>
        <w:rPr>
          <w:rFonts w:eastAsia="Calibri"/>
          <w:lang w:eastAsia="en-US"/>
        </w:rPr>
      </w:pPr>
    </w:p>
    <w:p w14:paraId="0D56206A" w14:textId="13F39D0C" w:rsidR="00E31389" w:rsidRPr="00E31389" w:rsidRDefault="00E31389" w:rsidP="00E31389">
      <w:pPr>
        <w:keepNext/>
        <w:spacing w:after="160" w:line="256" w:lineRule="auto"/>
        <w:jc w:val="center"/>
        <w:rPr>
          <w:rFonts w:eastAsia="Calibri"/>
          <w:lang w:val="es-ES" w:eastAsia="en-US"/>
        </w:rPr>
      </w:pPr>
      <w:r w:rsidRPr="00E31389">
        <w:rPr>
          <w:rFonts w:eastAsia="Calibri"/>
          <w:noProof/>
          <w:lang w:val="es-ES" w:eastAsia="en-US"/>
        </w:rPr>
        <w:lastRenderedPageBreak/>
        <w:drawing>
          <wp:inline distT="0" distB="0" distL="0" distR="0" wp14:anchorId="4397DB30" wp14:editId="1317D283">
            <wp:extent cx="3771900" cy="4219575"/>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4219575"/>
                    </a:xfrm>
                    <a:prstGeom prst="rect">
                      <a:avLst/>
                    </a:prstGeom>
                    <a:noFill/>
                    <a:ln>
                      <a:noFill/>
                    </a:ln>
                  </pic:spPr>
                </pic:pic>
              </a:graphicData>
            </a:graphic>
          </wp:inline>
        </w:drawing>
      </w:r>
    </w:p>
    <w:p w14:paraId="3C2637DB" w14:textId="37CC98CD" w:rsidR="00E31389" w:rsidRPr="00E31389" w:rsidRDefault="00E31389" w:rsidP="00E31389">
      <w:pPr>
        <w:spacing w:after="200"/>
        <w:jc w:val="center"/>
        <w:rPr>
          <w:rFonts w:eastAsia="Calibri"/>
          <w:bCs/>
          <w:color w:val="4F81BD"/>
          <w:sz w:val="22"/>
          <w:szCs w:val="22"/>
          <w:lang w:val="es-ES" w:eastAsia="en-US"/>
        </w:rPr>
      </w:pPr>
      <w:r w:rsidRPr="00E31389">
        <w:rPr>
          <w:rFonts w:eastAsia="Calibri"/>
          <w:b/>
          <w:bCs/>
          <w:sz w:val="22"/>
          <w:szCs w:val="22"/>
          <w:lang w:val="es-ES" w:eastAsia="en-US"/>
        </w:rPr>
        <w:t xml:space="preserve">Fig. </w:t>
      </w:r>
      <w:r w:rsidRPr="00E31389">
        <w:rPr>
          <w:rFonts w:eastAsia="Calibri"/>
          <w:b/>
          <w:bCs/>
          <w:sz w:val="22"/>
          <w:szCs w:val="22"/>
          <w:lang w:val="es-ES" w:eastAsia="en-US"/>
        </w:rPr>
        <w:fldChar w:fldCharType="begin"/>
      </w:r>
      <w:r w:rsidRPr="00E31389">
        <w:rPr>
          <w:rFonts w:eastAsia="Calibri"/>
          <w:b/>
          <w:bCs/>
          <w:sz w:val="22"/>
          <w:szCs w:val="22"/>
          <w:lang w:val="es-ES" w:eastAsia="en-US"/>
        </w:rPr>
        <w:instrText xml:space="preserve"> SEQ Gráfico \* ARABIC </w:instrText>
      </w:r>
      <w:r w:rsidRPr="00E31389">
        <w:rPr>
          <w:rFonts w:eastAsia="Calibri"/>
          <w:b/>
          <w:bCs/>
          <w:sz w:val="22"/>
          <w:szCs w:val="22"/>
          <w:lang w:val="es-ES" w:eastAsia="en-US"/>
        </w:rPr>
        <w:fldChar w:fldCharType="separate"/>
      </w:r>
      <w:r w:rsidR="00F50FCC">
        <w:rPr>
          <w:rFonts w:eastAsia="Calibri"/>
          <w:b/>
          <w:bCs/>
          <w:noProof/>
          <w:sz w:val="22"/>
          <w:szCs w:val="22"/>
          <w:lang w:val="es-ES" w:eastAsia="en-US"/>
        </w:rPr>
        <w:t>2</w:t>
      </w:r>
      <w:r w:rsidRPr="00E31389">
        <w:rPr>
          <w:rFonts w:eastAsia="Calibri"/>
          <w:b/>
          <w:bCs/>
          <w:sz w:val="22"/>
          <w:szCs w:val="22"/>
          <w:lang w:val="es-ES" w:eastAsia="en-US"/>
        </w:rPr>
        <w:fldChar w:fldCharType="end"/>
      </w:r>
      <w:r w:rsidRPr="00E31389">
        <w:rPr>
          <w:rFonts w:eastAsia="Calibri"/>
          <w:b/>
          <w:bCs/>
          <w:sz w:val="22"/>
          <w:szCs w:val="22"/>
          <w:lang w:val="es-ES" w:eastAsia="en-US"/>
        </w:rPr>
        <w:t xml:space="preserve"> - </w:t>
      </w:r>
      <w:r w:rsidRPr="00E31389">
        <w:rPr>
          <w:rFonts w:eastAsia="Calibri"/>
          <w:bCs/>
          <w:sz w:val="22"/>
          <w:szCs w:val="22"/>
          <w:lang w:val="es-ES" w:eastAsia="en-US"/>
        </w:rPr>
        <w:t>Frecuencia de síntomas y signos por sexo</w:t>
      </w:r>
      <w:r>
        <w:rPr>
          <w:rFonts w:eastAsia="Calibri"/>
          <w:bCs/>
          <w:sz w:val="22"/>
          <w:szCs w:val="22"/>
          <w:lang w:val="es-ES" w:eastAsia="en-US"/>
        </w:rPr>
        <w:t>s</w:t>
      </w:r>
      <w:r w:rsidRPr="00E31389">
        <w:rPr>
          <w:rFonts w:eastAsia="Calibri"/>
          <w:bCs/>
          <w:sz w:val="22"/>
          <w:szCs w:val="22"/>
          <w:lang w:val="es-ES" w:eastAsia="en-US"/>
        </w:rPr>
        <w:t>.</w:t>
      </w:r>
    </w:p>
    <w:p w14:paraId="2139B2FD" w14:textId="77777777" w:rsidR="00E31389" w:rsidRPr="00E31389" w:rsidRDefault="00E31389" w:rsidP="00E31389">
      <w:pPr>
        <w:tabs>
          <w:tab w:val="left" w:pos="1005"/>
        </w:tabs>
        <w:spacing w:after="160" w:line="256" w:lineRule="auto"/>
        <w:jc w:val="both"/>
        <w:rPr>
          <w:rFonts w:eastAsia="Calibri"/>
          <w:lang w:eastAsia="en-US"/>
        </w:rPr>
      </w:pPr>
    </w:p>
    <w:p w14:paraId="3D945300" w14:textId="77777777" w:rsidR="00E31389" w:rsidRPr="00E31389" w:rsidRDefault="00E31389" w:rsidP="00E31389">
      <w:pPr>
        <w:tabs>
          <w:tab w:val="left" w:pos="1005"/>
        </w:tabs>
        <w:spacing w:line="360" w:lineRule="auto"/>
        <w:jc w:val="both"/>
        <w:rPr>
          <w:rFonts w:eastAsia="Calibri"/>
          <w:lang w:eastAsia="en-US"/>
        </w:rPr>
      </w:pPr>
      <w:r w:rsidRPr="00E31389">
        <w:rPr>
          <w:rFonts w:eastAsia="Calibri"/>
          <w:lang w:eastAsia="en-US"/>
        </w:rPr>
        <w:t xml:space="preserve">Cuando se analizan los exámenes complementarios realizados al momento del diagnóstico, según el cuadro clínico (tabla 3), se aprecia </w:t>
      </w:r>
      <w:proofErr w:type="spellStart"/>
      <w:r w:rsidRPr="00E31389">
        <w:rPr>
          <w:rFonts w:eastAsia="Calibri"/>
          <w:lang w:eastAsia="en-US"/>
        </w:rPr>
        <w:t>linfopenia</w:t>
      </w:r>
      <w:proofErr w:type="spellEnd"/>
      <w:r w:rsidRPr="00E31389">
        <w:rPr>
          <w:rFonts w:eastAsia="Calibri"/>
          <w:lang w:eastAsia="en-US"/>
        </w:rPr>
        <w:t xml:space="preserve"> con una media de 0,12 inicial en los pacientes que presentaban síntomas, por una media de linfocitos en sangre periférica de 0,31 en los pacientes asintomáticos. </w:t>
      </w:r>
    </w:p>
    <w:p w14:paraId="7E40FE96" w14:textId="77777777" w:rsidR="00E31389" w:rsidRPr="00E31389" w:rsidRDefault="00E31389" w:rsidP="00E31389">
      <w:pPr>
        <w:tabs>
          <w:tab w:val="left" w:pos="1005"/>
        </w:tabs>
        <w:spacing w:line="360" w:lineRule="auto"/>
        <w:jc w:val="both"/>
        <w:rPr>
          <w:rFonts w:eastAsia="Calibri"/>
          <w:lang w:eastAsia="en-US"/>
        </w:rPr>
      </w:pPr>
      <w:r w:rsidRPr="00E31389">
        <w:rPr>
          <w:rFonts w:eastAsia="Calibri"/>
          <w:lang w:eastAsia="en-US"/>
        </w:rPr>
        <w:t xml:space="preserve">Se comprobó además el incremento de los valores medios de ferritina, de 3096 µg/L en los pacientes sintomáticos por 1001 µg/L en los asintomáticos, similares resultados se observaron en los valores de proteína C reactiva, la cual presentaba una media de 67 mg/L en los pacientes sintomáticos por 18,2 mg/L en los asintomáticos. </w:t>
      </w:r>
    </w:p>
    <w:p w14:paraId="1E73CDA9" w14:textId="77777777" w:rsidR="00E31389" w:rsidRPr="00E31389" w:rsidRDefault="00E31389" w:rsidP="00E31389">
      <w:pPr>
        <w:tabs>
          <w:tab w:val="left" w:pos="1005"/>
        </w:tabs>
        <w:spacing w:after="160" w:line="256" w:lineRule="auto"/>
        <w:jc w:val="both"/>
        <w:rPr>
          <w:rFonts w:eastAsia="Calibri"/>
          <w:lang w:eastAsia="en-US"/>
        </w:rPr>
      </w:pPr>
    </w:p>
    <w:p w14:paraId="5BA587F6" w14:textId="00FB6CC5" w:rsidR="00E31389" w:rsidRPr="00E31389" w:rsidRDefault="00E31389" w:rsidP="00E31389">
      <w:pPr>
        <w:keepNext/>
        <w:spacing w:after="200"/>
        <w:jc w:val="center"/>
        <w:rPr>
          <w:rFonts w:eastAsia="Calibri"/>
          <w:bCs/>
          <w:sz w:val="22"/>
          <w:szCs w:val="22"/>
          <w:lang w:val="es-ES" w:eastAsia="en-US"/>
        </w:rPr>
      </w:pPr>
      <w:r w:rsidRPr="00E31389">
        <w:rPr>
          <w:rFonts w:eastAsia="Calibri"/>
          <w:b/>
          <w:bCs/>
          <w:sz w:val="22"/>
          <w:szCs w:val="22"/>
          <w:lang w:val="es-ES" w:eastAsia="en-US"/>
        </w:rPr>
        <w:lastRenderedPageBreak/>
        <w:t xml:space="preserve">Tabla </w:t>
      </w:r>
      <w:r w:rsidRPr="00E31389">
        <w:rPr>
          <w:rFonts w:eastAsia="Calibri"/>
          <w:b/>
          <w:bCs/>
          <w:sz w:val="22"/>
          <w:szCs w:val="22"/>
          <w:lang w:val="es-ES" w:eastAsia="en-US"/>
        </w:rPr>
        <w:fldChar w:fldCharType="begin"/>
      </w:r>
      <w:r w:rsidRPr="00E31389">
        <w:rPr>
          <w:rFonts w:eastAsia="Calibri"/>
          <w:b/>
          <w:bCs/>
          <w:sz w:val="22"/>
          <w:szCs w:val="22"/>
          <w:lang w:val="es-ES" w:eastAsia="en-US"/>
        </w:rPr>
        <w:instrText xml:space="preserve"> SEQ Tabla \* ARABIC </w:instrText>
      </w:r>
      <w:r w:rsidRPr="00E31389">
        <w:rPr>
          <w:rFonts w:eastAsia="Calibri"/>
          <w:b/>
          <w:bCs/>
          <w:sz w:val="22"/>
          <w:szCs w:val="22"/>
          <w:lang w:val="es-ES" w:eastAsia="en-US"/>
        </w:rPr>
        <w:fldChar w:fldCharType="separate"/>
      </w:r>
      <w:r w:rsidR="00F50FCC">
        <w:rPr>
          <w:rFonts w:eastAsia="Calibri"/>
          <w:b/>
          <w:bCs/>
          <w:noProof/>
          <w:sz w:val="22"/>
          <w:szCs w:val="22"/>
          <w:lang w:val="es-ES" w:eastAsia="en-US"/>
        </w:rPr>
        <w:t>3</w:t>
      </w:r>
      <w:r w:rsidRPr="00E31389">
        <w:rPr>
          <w:rFonts w:eastAsia="Calibri"/>
          <w:b/>
          <w:bCs/>
          <w:sz w:val="22"/>
          <w:szCs w:val="22"/>
          <w:lang w:val="es-ES" w:eastAsia="en-US"/>
        </w:rPr>
        <w:fldChar w:fldCharType="end"/>
      </w:r>
      <w:r w:rsidRPr="00E31389">
        <w:rPr>
          <w:rFonts w:eastAsia="Calibri"/>
          <w:b/>
          <w:bCs/>
          <w:sz w:val="22"/>
          <w:szCs w:val="22"/>
          <w:lang w:val="es-ES" w:eastAsia="en-US"/>
        </w:rPr>
        <w:t xml:space="preserve"> - </w:t>
      </w:r>
      <w:r w:rsidRPr="00E31389">
        <w:rPr>
          <w:rFonts w:eastAsia="Calibri"/>
          <w:bCs/>
          <w:sz w:val="22"/>
          <w:szCs w:val="22"/>
          <w:lang w:val="es-ES" w:eastAsia="en-US"/>
        </w:rPr>
        <w:t>Exámenes complementarios al momento del diagnóstico según cuadro clínico</w:t>
      </w:r>
    </w:p>
    <w:p w14:paraId="785DD1B7" w14:textId="25DDBFAD" w:rsidR="00E31389" w:rsidRPr="00E31389" w:rsidRDefault="00E31389" w:rsidP="00E31389">
      <w:pPr>
        <w:tabs>
          <w:tab w:val="left" w:pos="1005"/>
        </w:tabs>
        <w:spacing w:after="160" w:line="256" w:lineRule="auto"/>
        <w:jc w:val="center"/>
        <w:rPr>
          <w:rFonts w:eastAsia="Calibri"/>
          <w:sz w:val="16"/>
          <w:szCs w:val="16"/>
          <w:lang w:eastAsia="en-US"/>
        </w:rPr>
      </w:pPr>
      <w:r w:rsidRPr="00E31389">
        <w:rPr>
          <w:rFonts w:eastAsia="Calibri"/>
          <w:noProof/>
          <w:sz w:val="16"/>
          <w:szCs w:val="16"/>
          <w:lang w:eastAsia="en-US"/>
        </w:rPr>
        <w:drawing>
          <wp:inline distT="0" distB="0" distL="0" distR="0" wp14:anchorId="5DA1C432" wp14:editId="17940DAF">
            <wp:extent cx="5400675" cy="828675"/>
            <wp:effectExtent l="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828675"/>
                    </a:xfrm>
                    <a:prstGeom prst="rect">
                      <a:avLst/>
                    </a:prstGeom>
                    <a:noFill/>
                    <a:ln>
                      <a:noFill/>
                    </a:ln>
                  </pic:spPr>
                </pic:pic>
              </a:graphicData>
            </a:graphic>
          </wp:inline>
        </w:drawing>
      </w:r>
    </w:p>
    <w:p w14:paraId="42434228" w14:textId="77777777" w:rsidR="00E31389" w:rsidRPr="00E31389" w:rsidRDefault="00E31389" w:rsidP="00E31389">
      <w:pPr>
        <w:tabs>
          <w:tab w:val="left" w:pos="1005"/>
        </w:tabs>
        <w:spacing w:after="160" w:line="256" w:lineRule="auto"/>
        <w:jc w:val="center"/>
        <w:rPr>
          <w:rFonts w:eastAsia="Calibri"/>
          <w:sz w:val="16"/>
          <w:szCs w:val="16"/>
          <w:lang w:eastAsia="en-US"/>
        </w:rPr>
      </w:pPr>
      <w:r w:rsidRPr="00E31389">
        <w:rPr>
          <w:rFonts w:eastAsia="Calibri"/>
          <w:sz w:val="16"/>
          <w:szCs w:val="16"/>
          <w:lang w:eastAsia="en-US"/>
        </w:rPr>
        <w:t xml:space="preserve">TGO: </w:t>
      </w:r>
      <w:proofErr w:type="gramStart"/>
      <w:r w:rsidRPr="00E31389">
        <w:rPr>
          <w:rFonts w:eastAsia="Calibri"/>
          <w:sz w:val="16"/>
          <w:szCs w:val="16"/>
          <w:lang w:eastAsia="en-US"/>
        </w:rPr>
        <w:t>transaminasa glutámico</w:t>
      </w:r>
      <w:proofErr w:type="gramEnd"/>
      <w:r w:rsidRPr="00E31389">
        <w:rPr>
          <w:rFonts w:eastAsia="Calibri"/>
          <w:sz w:val="16"/>
          <w:szCs w:val="16"/>
          <w:lang w:eastAsia="en-US"/>
        </w:rPr>
        <w:t xml:space="preserve"> oxalacética, TGP: transaminasa glutámico pirúvica.</w:t>
      </w:r>
    </w:p>
    <w:p w14:paraId="294DC8EE" w14:textId="77777777" w:rsidR="00E31389" w:rsidRPr="00E31389" w:rsidRDefault="00E31389" w:rsidP="00E31389">
      <w:pPr>
        <w:tabs>
          <w:tab w:val="left" w:pos="1005"/>
        </w:tabs>
        <w:spacing w:after="160" w:line="256" w:lineRule="auto"/>
        <w:jc w:val="both"/>
        <w:rPr>
          <w:rFonts w:eastAsia="Calibri"/>
          <w:sz w:val="20"/>
          <w:szCs w:val="20"/>
          <w:lang w:eastAsia="en-US"/>
        </w:rPr>
      </w:pPr>
    </w:p>
    <w:p w14:paraId="2822287B" w14:textId="77777777" w:rsidR="00E31389" w:rsidRPr="00E31389" w:rsidRDefault="00E31389" w:rsidP="00E31389">
      <w:pPr>
        <w:tabs>
          <w:tab w:val="left" w:pos="1005"/>
        </w:tabs>
        <w:spacing w:after="160" w:line="256" w:lineRule="auto"/>
        <w:rPr>
          <w:rFonts w:eastAsia="Calibri"/>
          <w:b/>
          <w:lang w:eastAsia="en-US"/>
        </w:rPr>
      </w:pPr>
    </w:p>
    <w:p w14:paraId="4177BE3E" w14:textId="77777777" w:rsidR="00E31389" w:rsidRPr="00E31389" w:rsidRDefault="00E31389" w:rsidP="00E31389">
      <w:pPr>
        <w:tabs>
          <w:tab w:val="left" w:pos="1005"/>
        </w:tabs>
        <w:spacing w:after="160" w:line="256" w:lineRule="auto"/>
        <w:jc w:val="center"/>
        <w:rPr>
          <w:rFonts w:eastAsia="Calibri"/>
          <w:sz w:val="32"/>
          <w:szCs w:val="32"/>
          <w:lang w:eastAsia="en-US"/>
        </w:rPr>
      </w:pPr>
      <w:r w:rsidRPr="00E31389">
        <w:rPr>
          <w:rFonts w:eastAsia="Calibri"/>
          <w:b/>
          <w:sz w:val="32"/>
          <w:szCs w:val="32"/>
          <w:lang w:eastAsia="en-US"/>
        </w:rPr>
        <w:t>DISCUSIÓN</w:t>
      </w:r>
    </w:p>
    <w:p w14:paraId="29CA15E9" w14:textId="77777777" w:rsidR="00E31389" w:rsidRPr="00E31389" w:rsidRDefault="00E31389" w:rsidP="00E31389">
      <w:pPr>
        <w:tabs>
          <w:tab w:val="left" w:pos="1005"/>
        </w:tabs>
        <w:spacing w:line="360" w:lineRule="auto"/>
        <w:jc w:val="both"/>
        <w:rPr>
          <w:rFonts w:eastAsia="Calibri"/>
          <w:b/>
          <w:lang w:val="es-ES" w:eastAsia="en-US"/>
        </w:rPr>
      </w:pPr>
      <w:r w:rsidRPr="00E31389">
        <w:rPr>
          <w:rFonts w:eastAsia="Calibri"/>
          <w:lang w:val="es-ES" w:eastAsia="en-US"/>
        </w:rPr>
        <w:t xml:space="preserve">Los pacientes con ERC en hemodiálisis, tienen más riesgo de contraer enfermedades infecciosas, por la disminución de su función inmunológica, además como se ha comentado en la presente investigación también por la alta comorbilidad. Constituyen por tanto, un grupo vulnerable frente a este tipo de </w:t>
      </w:r>
      <w:proofErr w:type="gramStart"/>
      <w:r w:rsidRPr="00E31389">
        <w:rPr>
          <w:rFonts w:eastAsia="Calibri"/>
          <w:lang w:val="es-ES" w:eastAsia="en-US"/>
        </w:rPr>
        <w:t>enfermedades.</w:t>
      </w:r>
      <w:r w:rsidRPr="00E31389">
        <w:rPr>
          <w:rFonts w:eastAsia="Calibri"/>
          <w:vertAlign w:val="superscript"/>
          <w:lang w:val="es-ES" w:eastAsia="en-US"/>
        </w:rPr>
        <w:t>(</w:t>
      </w:r>
      <w:proofErr w:type="gramEnd"/>
      <w:r w:rsidRPr="00E31389">
        <w:rPr>
          <w:rFonts w:eastAsia="Calibri"/>
          <w:vertAlign w:val="superscript"/>
          <w:lang w:val="es-ES" w:eastAsia="en-US"/>
        </w:rPr>
        <w:t>7)</w:t>
      </w:r>
    </w:p>
    <w:p w14:paraId="48B746C3" w14:textId="77777777" w:rsidR="00E31389" w:rsidRPr="00E31389" w:rsidRDefault="00E31389" w:rsidP="00E31389">
      <w:pPr>
        <w:autoSpaceDE w:val="0"/>
        <w:autoSpaceDN w:val="0"/>
        <w:adjustRightInd w:val="0"/>
        <w:spacing w:line="360" w:lineRule="auto"/>
        <w:jc w:val="both"/>
        <w:rPr>
          <w:rFonts w:ascii="Arial" w:eastAsia="Calibri" w:hAnsi="Arial" w:cs="Arial"/>
          <w:sz w:val="20"/>
          <w:szCs w:val="20"/>
          <w:lang w:val="es-ES" w:eastAsia="en-US"/>
        </w:rPr>
      </w:pPr>
      <w:r w:rsidRPr="00E31389">
        <w:rPr>
          <w:rFonts w:eastAsia="Calibri"/>
          <w:lang w:val="es-ES" w:eastAsia="en-US"/>
        </w:rPr>
        <w:t xml:space="preserve">Según el Registro de la Sociedad Española de Nefrología (SEN) en su Informe 2 (18 marzo - 4 abril de 2020), en España se registran 637 casos de la COVID-19 confirmados en pacientes con enfermedad renal. El 81 % de los pacientes positivos a la COVID-19 con ERC, ha precisado ingreso hospitalario, de los cuales, el 5 % llega a la unidad de cuidados </w:t>
      </w:r>
      <w:proofErr w:type="gramStart"/>
      <w:r w:rsidRPr="00E31389">
        <w:rPr>
          <w:rFonts w:eastAsia="Calibri"/>
          <w:lang w:val="es-ES" w:eastAsia="en-US"/>
        </w:rPr>
        <w:t>intensivos.</w:t>
      </w:r>
      <w:r w:rsidRPr="00E31389">
        <w:rPr>
          <w:rFonts w:eastAsia="Calibri"/>
          <w:vertAlign w:val="superscript"/>
          <w:lang w:val="es-ES" w:eastAsia="en-US"/>
        </w:rPr>
        <w:t>(</w:t>
      </w:r>
      <w:proofErr w:type="gramEnd"/>
      <w:r w:rsidRPr="00E31389">
        <w:rPr>
          <w:rFonts w:eastAsia="Calibri"/>
          <w:vertAlign w:val="superscript"/>
          <w:lang w:val="es-ES" w:eastAsia="en-US"/>
        </w:rPr>
        <w:t>8)</w:t>
      </w:r>
    </w:p>
    <w:p w14:paraId="3A228CBE" w14:textId="77777777" w:rsidR="00E31389" w:rsidRPr="00E31389" w:rsidRDefault="00E31389" w:rsidP="00E31389">
      <w:pPr>
        <w:autoSpaceDE w:val="0"/>
        <w:autoSpaceDN w:val="0"/>
        <w:adjustRightInd w:val="0"/>
        <w:spacing w:line="360" w:lineRule="auto"/>
        <w:jc w:val="both"/>
        <w:rPr>
          <w:rFonts w:ascii="Arial" w:eastAsia="Calibri" w:hAnsi="Arial" w:cs="Arial"/>
          <w:sz w:val="20"/>
          <w:szCs w:val="20"/>
          <w:lang w:val="es-ES" w:eastAsia="en-US"/>
        </w:rPr>
      </w:pPr>
      <w:r w:rsidRPr="00E31389">
        <w:rPr>
          <w:rFonts w:eastAsia="Calibri"/>
          <w:lang w:val="es-ES" w:eastAsia="en-US"/>
        </w:rPr>
        <w:t xml:space="preserve">En la serie estudiada, como parte del protocolo nacional, todos los pacientes positivos se ingresan, muchos de ellos son diagnosticados al realizar estudios por ser contacto de casos positivos, esto puede contribuir a que sean detectados antes de desarrollar síntomas, sin </w:t>
      </w:r>
      <w:proofErr w:type="gramStart"/>
      <w:r w:rsidRPr="00E31389">
        <w:rPr>
          <w:rFonts w:eastAsia="Calibri"/>
          <w:lang w:val="es-ES" w:eastAsia="en-US"/>
        </w:rPr>
        <w:t>embargo</w:t>
      </w:r>
      <w:proofErr w:type="gramEnd"/>
      <w:r w:rsidRPr="00E31389">
        <w:rPr>
          <w:rFonts w:eastAsia="Calibri"/>
          <w:lang w:val="es-ES" w:eastAsia="en-US"/>
        </w:rPr>
        <w:t xml:space="preserve"> predominaron los casos sintomáticos.</w:t>
      </w:r>
    </w:p>
    <w:p w14:paraId="5A7E300F" w14:textId="77777777" w:rsidR="00E31389" w:rsidRPr="00E31389" w:rsidRDefault="00E31389" w:rsidP="00E31389">
      <w:pPr>
        <w:autoSpaceDE w:val="0"/>
        <w:autoSpaceDN w:val="0"/>
        <w:adjustRightInd w:val="0"/>
        <w:spacing w:line="360" w:lineRule="auto"/>
        <w:jc w:val="both"/>
        <w:rPr>
          <w:rFonts w:ascii="Arial" w:eastAsia="Calibri" w:hAnsi="Arial" w:cs="Arial"/>
          <w:sz w:val="20"/>
          <w:szCs w:val="20"/>
          <w:lang w:val="es-ES" w:eastAsia="en-US"/>
        </w:rPr>
      </w:pPr>
      <w:r w:rsidRPr="00E31389">
        <w:rPr>
          <w:rFonts w:eastAsia="Calibri"/>
          <w:lang w:val="es-ES" w:eastAsia="en-US"/>
        </w:rPr>
        <w:t xml:space="preserve">En algunas investigaciones se plantea </w:t>
      </w:r>
      <w:proofErr w:type="gramStart"/>
      <w:r w:rsidRPr="00E31389">
        <w:rPr>
          <w:rFonts w:eastAsia="Calibri"/>
          <w:lang w:val="es-ES" w:eastAsia="en-US"/>
        </w:rPr>
        <w:t>que</w:t>
      </w:r>
      <w:proofErr w:type="gramEnd"/>
      <w:r w:rsidRPr="00E31389">
        <w:rPr>
          <w:rFonts w:eastAsia="Calibri"/>
          <w:lang w:val="es-ES" w:eastAsia="en-US"/>
        </w:rPr>
        <w:t xml:space="preserve"> hasta el momento, hay una diferenciación en la relación de las manifestaciones clínicas de la población en general y de la población que sufre ERC, en cualquiera de sus vertientes. En España, en algunas series estudiadas, el 81 % de la población con ERC y la COVID-19, ha precisado ingreso hospitalario y el porcentaje de asintomáticos es menor que en el resto de la población, mientras que, en la población, el 80 % de los pacientes se recupera de forma espontánea, sin precisar hospitalización, solo el 9 % de pacientes con ERC y la COVID-19, permanecen </w:t>
      </w:r>
      <w:proofErr w:type="gramStart"/>
      <w:r w:rsidRPr="00E31389">
        <w:rPr>
          <w:rFonts w:eastAsia="Calibri"/>
          <w:lang w:val="es-ES" w:eastAsia="en-US"/>
        </w:rPr>
        <w:t>asintomáticos.</w:t>
      </w:r>
      <w:r w:rsidRPr="00E31389">
        <w:rPr>
          <w:rFonts w:eastAsia="Calibri"/>
          <w:vertAlign w:val="superscript"/>
          <w:lang w:val="es-ES" w:eastAsia="en-US"/>
        </w:rPr>
        <w:t>(</w:t>
      </w:r>
      <w:proofErr w:type="gramEnd"/>
      <w:r w:rsidRPr="00E31389">
        <w:rPr>
          <w:rFonts w:eastAsia="Calibri"/>
          <w:vertAlign w:val="superscript"/>
          <w:lang w:val="es-ES" w:eastAsia="en-US"/>
        </w:rPr>
        <w:t>9)</w:t>
      </w:r>
    </w:p>
    <w:p w14:paraId="3606A3E4" w14:textId="77777777" w:rsidR="00E31389" w:rsidRPr="00E31389" w:rsidRDefault="00E31389" w:rsidP="00E31389">
      <w:pPr>
        <w:autoSpaceDE w:val="0"/>
        <w:autoSpaceDN w:val="0"/>
        <w:adjustRightInd w:val="0"/>
        <w:spacing w:line="360" w:lineRule="auto"/>
        <w:jc w:val="both"/>
        <w:rPr>
          <w:rFonts w:ascii="Arial" w:eastAsia="Calibri" w:hAnsi="Arial" w:cs="Arial"/>
          <w:sz w:val="20"/>
          <w:szCs w:val="20"/>
          <w:lang w:val="es-ES" w:eastAsia="en-US"/>
        </w:rPr>
      </w:pPr>
      <w:r w:rsidRPr="00E31389">
        <w:rPr>
          <w:rFonts w:eastAsia="Calibri"/>
          <w:lang w:val="es-ES" w:eastAsia="en-US"/>
        </w:rPr>
        <w:t xml:space="preserve">Las manifestaciones clínicas son las mismas que en la población general, sin embargo, el porcentaje de aparición de estas es mayor. La SEN indica, que manifestaciones como fiebre (75 %), síntomas </w:t>
      </w:r>
      <w:r w:rsidRPr="00E31389">
        <w:rPr>
          <w:rFonts w:eastAsia="Calibri"/>
          <w:lang w:val="es-ES" w:eastAsia="en-US"/>
        </w:rPr>
        <w:lastRenderedPageBreak/>
        <w:t xml:space="preserve">respiratorios de vías altas (69 %) y disnea (42 %), son parámetros semejantes a la población general, síntomas que también predominaron en la presente </w:t>
      </w:r>
      <w:proofErr w:type="gramStart"/>
      <w:r w:rsidRPr="00E31389">
        <w:rPr>
          <w:rFonts w:eastAsia="Calibri"/>
          <w:lang w:val="es-ES" w:eastAsia="en-US"/>
        </w:rPr>
        <w:t>investigación.</w:t>
      </w:r>
      <w:r w:rsidRPr="00E31389">
        <w:rPr>
          <w:rFonts w:eastAsia="Calibri"/>
          <w:vertAlign w:val="superscript"/>
          <w:lang w:val="es-ES" w:eastAsia="en-US"/>
        </w:rPr>
        <w:t>(</w:t>
      </w:r>
      <w:proofErr w:type="gramEnd"/>
      <w:r w:rsidRPr="00E31389">
        <w:rPr>
          <w:rFonts w:eastAsia="Calibri"/>
          <w:vertAlign w:val="superscript"/>
          <w:lang w:val="es-ES" w:eastAsia="en-US"/>
        </w:rPr>
        <w:t>10)</w:t>
      </w:r>
    </w:p>
    <w:p w14:paraId="37CA1FA5" w14:textId="77777777" w:rsidR="00E31389" w:rsidRPr="00E31389" w:rsidRDefault="00E31389" w:rsidP="00E31389">
      <w:pPr>
        <w:autoSpaceDE w:val="0"/>
        <w:autoSpaceDN w:val="0"/>
        <w:adjustRightInd w:val="0"/>
        <w:spacing w:line="360" w:lineRule="auto"/>
        <w:jc w:val="both"/>
        <w:rPr>
          <w:rFonts w:eastAsia="Calibri"/>
          <w:vertAlign w:val="superscript"/>
          <w:lang w:val="es-ES" w:eastAsia="en-US"/>
        </w:rPr>
      </w:pPr>
      <w:r w:rsidRPr="00E31389">
        <w:rPr>
          <w:rFonts w:eastAsia="Calibri"/>
          <w:lang w:val="es-ES" w:eastAsia="en-US"/>
        </w:rPr>
        <w:t xml:space="preserve">Los estudios mencionados plantean que las diferencias se encuentran en la aparición de neumonía y de </w:t>
      </w:r>
      <w:proofErr w:type="spellStart"/>
      <w:r w:rsidRPr="00E31389">
        <w:rPr>
          <w:rFonts w:eastAsia="Calibri"/>
          <w:lang w:val="es-ES" w:eastAsia="en-US"/>
        </w:rPr>
        <w:t>linfopenia</w:t>
      </w:r>
      <w:proofErr w:type="spellEnd"/>
      <w:r w:rsidRPr="00E31389">
        <w:rPr>
          <w:rFonts w:eastAsia="Calibri"/>
          <w:lang w:val="es-ES" w:eastAsia="en-US"/>
        </w:rPr>
        <w:t xml:space="preserve">, ya que el 71 % de los pacientes con ERC y la COVID-19, padecerán neumonía y el 80 %, </w:t>
      </w:r>
      <w:proofErr w:type="spellStart"/>
      <w:proofErr w:type="gramStart"/>
      <w:r w:rsidRPr="00E31389">
        <w:rPr>
          <w:rFonts w:eastAsia="Calibri"/>
          <w:lang w:val="es-ES" w:eastAsia="en-US"/>
        </w:rPr>
        <w:t>linfopenia</w:t>
      </w:r>
      <w:proofErr w:type="spellEnd"/>
      <w:r w:rsidRPr="00E31389">
        <w:rPr>
          <w:rFonts w:eastAsia="Calibri"/>
          <w:lang w:val="es-ES" w:eastAsia="en-US"/>
        </w:rPr>
        <w:t>.</w:t>
      </w:r>
      <w:r w:rsidRPr="00E31389">
        <w:rPr>
          <w:rFonts w:eastAsia="Calibri"/>
          <w:vertAlign w:val="superscript"/>
          <w:lang w:val="es-ES" w:eastAsia="en-US"/>
        </w:rPr>
        <w:t>(</w:t>
      </w:r>
      <w:proofErr w:type="gramEnd"/>
      <w:r w:rsidRPr="00E31389">
        <w:rPr>
          <w:rFonts w:eastAsia="Calibri"/>
          <w:vertAlign w:val="superscript"/>
          <w:lang w:val="es-ES" w:eastAsia="en-US"/>
        </w:rPr>
        <w:t>9,10)</w:t>
      </w:r>
    </w:p>
    <w:p w14:paraId="602CD129" w14:textId="77777777" w:rsidR="00E31389" w:rsidRPr="00E31389" w:rsidRDefault="00E31389" w:rsidP="00E31389">
      <w:pPr>
        <w:autoSpaceDE w:val="0"/>
        <w:autoSpaceDN w:val="0"/>
        <w:adjustRightInd w:val="0"/>
        <w:spacing w:line="360" w:lineRule="auto"/>
        <w:jc w:val="both"/>
        <w:rPr>
          <w:rFonts w:eastAsia="Calibri"/>
          <w:color w:val="000000"/>
          <w:lang w:val="es-ES" w:eastAsia="en-US"/>
        </w:rPr>
      </w:pPr>
      <w:r w:rsidRPr="00E31389">
        <w:rPr>
          <w:rFonts w:eastAsia="Calibri"/>
          <w:color w:val="000000"/>
          <w:lang w:val="es-ES" w:eastAsia="en-US"/>
        </w:rPr>
        <w:t xml:space="preserve">En los pacientes estudiados, también se observó la presencia de </w:t>
      </w:r>
      <w:proofErr w:type="spellStart"/>
      <w:r w:rsidRPr="00E31389">
        <w:rPr>
          <w:rFonts w:eastAsia="Calibri"/>
          <w:color w:val="000000"/>
          <w:lang w:val="es-ES" w:eastAsia="en-US"/>
        </w:rPr>
        <w:t>linfopenia</w:t>
      </w:r>
      <w:proofErr w:type="spellEnd"/>
      <w:r w:rsidRPr="00E31389">
        <w:rPr>
          <w:rFonts w:eastAsia="Calibri"/>
          <w:color w:val="000000"/>
          <w:lang w:val="es-ES" w:eastAsia="en-US"/>
        </w:rPr>
        <w:t xml:space="preserve">, más acentuada en los que presentaban sintomatología. </w:t>
      </w:r>
    </w:p>
    <w:p w14:paraId="3260F207" w14:textId="77777777" w:rsidR="00E31389" w:rsidRPr="00E31389" w:rsidRDefault="00E31389" w:rsidP="00E31389">
      <w:pPr>
        <w:autoSpaceDE w:val="0"/>
        <w:autoSpaceDN w:val="0"/>
        <w:adjustRightInd w:val="0"/>
        <w:spacing w:line="360" w:lineRule="auto"/>
        <w:jc w:val="both"/>
        <w:rPr>
          <w:rFonts w:eastAsia="Calibri"/>
          <w:lang w:val="es-ES" w:eastAsia="en-US"/>
        </w:rPr>
      </w:pPr>
      <w:r w:rsidRPr="00E31389">
        <w:rPr>
          <w:rFonts w:eastAsia="Calibri"/>
          <w:color w:val="000000"/>
          <w:lang w:val="es-ES" w:eastAsia="en-US"/>
        </w:rPr>
        <w:t xml:space="preserve">En estudios realizados en el servicio de nefrología del </w:t>
      </w:r>
      <w:r w:rsidRPr="00E31389">
        <w:rPr>
          <w:rFonts w:eastAsia="Calibri"/>
          <w:lang w:val="es-ES" w:eastAsia="en-US"/>
        </w:rPr>
        <w:t xml:space="preserve">Hospital Universitario Infanta Leonor de Madrid, luego del primer mes de la </w:t>
      </w:r>
      <w:proofErr w:type="gramStart"/>
      <w:r w:rsidRPr="00E31389">
        <w:rPr>
          <w:rFonts w:eastAsia="Calibri"/>
          <w:lang w:val="es-ES" w:eastAsia="en-US"/>
        </w:rPr>
        <w:t>pandemia,  se</w:t>
      </w:r>
      <w:proofErr w:type="gramEnd"/>
      <w:r w:rsidRPr="00E31389">
        <w:rPr>
          <w:rFonts w:eastAsia="Calibri"/>
          <w:lang w:val="es-ES" w:eastAsia="en-US"/>
        </w:rPr>
        <w:t xml:space="preserve"> pudo constatar que el 50 % de los pacientes sintomáticos presentaban </w:t>
      </w:r>
      <w:proofErr w:type="spellStart"/>
      <w:r w:rsidRPr="00E31389">
        <w:rPr>
          <w:rFonts w:eastAsia="Calibri"/>
          <w:lang w:val="es-ES" w:eastAsia="en-US"/>
        </w:rPr>
        <w:t>linfopenia</w:t>
      </w:r>
      <w:proofErr w:type="spellEnd"/>
      <w:r w:rsidRPr="00E31389">
        <w:rPr>
          <w:rFonts w:eastAsia="Calibri"/>
          <w:lang w:val="es-ES" w:eastAsia="en-US"/>
        </w:rPr>
        <w:t xml:space="preserve"> y el 46,7 % en el caso de los diagnosticados asintomáticos, los cuales representaron el 40,5 % de la muestra estudiada.</w:t>
      </w:r>
      <w:r w:rsidRPr="00E31389">
        <w:rPr>
          <w:rFonts w:eastAsia="Calibri"/>
          <w:vertAlign w:val="superscript"/>
          <w:lang w:val="es-ES" w:eastAsia="en-US"/>
        </w:rPr>
        <w:t>(11)</w:t>
      </w:r>
    </w:p>
    <w:p w14:paraId="4C31D21B" w14:textId="77777777" w:rsidR="00E31389" w:rsidRPr="00E31389" w:rsidRDefault="00E31389" w:rsidP="00E31389">
      <w:pPr>
        <w:autoSpaceDE w:val="0"/>
        <w:autoSpaceDN w:val="0"/>
        <w:adjustRightInd w:val="0"/>
        <w:spacing w:line="360" w:lineRule="auto"/>
        <w:jc w:val="both"/>
        <w:rPr>
          <w:rFonts w:eastAsia="Calibri"/>
          <w:lang w:val="es-ES" w:eastAsia="en-US"/>
        </w:rPr>
      </w:pPr>
      <w:r w:rsidRPr="00E31389">
        <w:rPr>
          <w:lang w:val="es-ES" w:eastAsia="es-ES"/>
        </w:rPr>
        <w:t xml:space="preserve">Algunos estudios realizados en China, en la población general plantean que alrededor del 80 % de los pacientes tiene </w:t>
      </w:r>
      <w:proofErr w:type="spellStart"/>
      <w:r w:rsidRPr="00E31389">
        <w:rPr>
          <w:lang w:val="es-ES" w:eastAsia="es-ES"/>
        </w:rPr>
        <w:t>linfopenia</w:t>
      </w:r>
      <w:proofErr w:type="spellEnd"/>
      <w:r w:rsidRPr="00E31389">
        <w:rPr>
          <w:lang w:val="es-ES" w:eastAsia="es-ES"/>
        </w:rPr>
        <w:t xml:space="preserve"> con recuento celular de glóbulos blancos normal o casi normal. Se ha observado que la progresión de la </w:t>
      </w:r>
      <w:proofErr w:type="spellStart"/>
      <w:r w:rsidRPr="00E31389">
        <w:rPr>
          <w:lang w:val="es-ES" w:eastAsia="es-ES"/>
        </w:rPr>
        <w:t>linfopenia</w:t>
      </w:r>
      <w:proofErr w:type="spellEnd"/>
      <w:r w:rsidRPr="00E31389">
        <w:rPr>
          <w:lang w:val="es-ES" w:eastAsia="es-ES"/>
        </w:rPr>
        <w:t xml:space="preserve"> es un factor pronóstico individual de mortalidad. Los pacientes más graves tienden a evolucionar hacia un recuento de linfocitos menor al 5 % del recuento </w:t>
      </w:r>
      <w:proofErr w:type="gramStart"/>
      <w:r w:rsidRPr="00E31389">
        <w:rPr>
          <w:lang w:val="es-ES" w:eastAsia="es-ES"/>
        </w:rPr>
        <w:t>total.</w:t>
      </w:r>
      <w:r w:rsidRPr="00E31389">
        <w:rPr>
          <w:vertAlign w:val="superscript"/>
          <w:lang w:val="es-ES" w:eastAsia="es-ES"/>
        </w:rPr>
        <w:t>(</w:t>
      </w:r>
      <w:proofErr w:type="gramEnd"/>
      <w:r w:rsidRPr="00E31389">
        <w:rPr>
          <w:vertAlign w:val="superscript"/>
          <w:lang w:val="es-ES" w:eastAsia="es-ES"/>
        </w:rPr>
        <w:t>12)</w:t>
      </w:r>
    </w:p>
    <w:p w14:paraId="2E562E4D" w14:textId="77777777" w:rsidR="00E31389" w:rsidRPr="00E31389" w:rsidRDefault="00E31389" w:rsidP="00E31389">
      <w:pPr>
        <w:autoSpaceDE w:val="0"/>
        <w:autoSpaceDN w:val="0"/>
        <w:adjustRightInd w:val="0"/>
        <w:spacing w:line="360" w:lineRule="auto"/>
        <w:jc w:val="both"/>
        <w:rPr>
          <w:rFonts w:eastAsia="Calibri"/>
          <w:color w:val="000000"/>
          <w:vertAlign w:val="superscript"/>
          <w:lang w:val="es-ES" w:eastAsia="en-US"/>
        </w:rPr>
      </w:pPr>
      <w:r w:rsidRPr="00E31389">
        <w:rPr>
          <w:rFonts w:eastAsia="Calibri"/>
          <w:color w:val="000000"/>
          <w:lang w:val="es-ES" w:eastAsia="en-US"/>
        </w:rPr>
        <w:t xml:space="preserve">Se asoció además un incremento en los niveles de ferritina y proteína C reactiva, como parte de los marcadores inflamatorios elevados encontrados en estos pacientes. Múltiples estudios en Asia e Italia plantean que los niveles altos de proteína C reactiva se relacionaron con mayor necesidad de oxigenoterapia. Se ha descrito que entre los pacientes hospitalizados positivos a SARS-CoV-2, quienes tuvieron necesidad de oxígeno suplementario tuvieron una media de proteína C reactiva más elevada, en comparación con aquellos que no necesitaron </w:t>
      </w:r>
      <w:proofErr w:type="gramStart"/>
      <w:r w:rsidRPr="00E31389">
        <w:rPr>
          <w:rFonts w:eastAsia="Calibri"/>
          <w:color w:val="000000"/>
          <w:lang w:val="es-ES" w:eastAsia="en-US"/>
        </w:rPr>
        <w:t>oxígeno.</w:t>
      </w:r>
      <w:r w:rsidRPr="00E31389">
        <w:rPr>
          <w:rFonts w:eastAsia="Calibri"/>
          <w:color w:val="000000"/>
          <w:vertAlign w:val="superscript"/>
          <w:lang w:val="es-ES" w:eastAsia="en-US"/>
        </w:rPr>
        <w:t>(</w:t>
      </w:r>
      <w:proofErr w:type="gramEnd"/>
      <w:r w:rsidRPr="00E31389">
        <w:rPr>
          <w:rFonts w:eastAsia="Calibri"/>
          <w:color w:val="000000"/>
          <w:vertAlign w:val="superscript"/>
          <w:lang w:val="es-ES" w:eastAsia="en-US"/>
        </w:rPr>
        <w:t>13,14,15)</w:t>
      </w:r>
    </w:p>
    <w:p w14:paraId="3B3B074E" w14:textId="77777777" w:rsidR="00E31389" w:rsidRPr="00E31389" w:rsidRDefault="00E31389" w:rsidP="00E31389">
      <w:pPr>
        <w:autoSpaceDE w:val="0"/>
        <w:autoSpaceDN w:val="0"/>
        <w:adjustRightInd w:val="0"/>
        <w:spacing w:line="360" w:lineRule="auto"/>
        <w:jc w:val="both"/>
        <w:rPr>
          <w:rFonts w:eastAsia="Calibri"/>
          <w:color w:val="000000"/>
          <w:vertAlign w:val="superscript"/>
          <w:lang w:val="es-ES" w:eastAsia="en-US"/>
        </w:rPr>
      </w:pPr>
      <w:r w:rsidRPr="00E31389">
        <w:rPr>
          <w:rFonts w:eastAsia="Calibri"/>
          <w:color w:val="000000"/>
          <w:lang w:val="es-ES" w:eastAsia="en-US"/>
        </w:rPr>
        <w:t xml:space="preserve">De los parámetros de laboratorio, la proteína C reactiva al inicio y, sobre todo, el nivel máximo de ferritina y la interleucina-6 son los que muestran más diferencias entre las personas vivas y fallecidas. Estos dos parámetros se consideran discriminadores de enfermedad </w:t>
      </w:r>
      <w:proofErr w:type="gramStart"/>
      <w:r w:rsidRPr="00E31389">
        <w:rPr>
          <w:rFonts w:eastAsia="Calibri"/>
          <w:color w:val="000000"/>
          <w:lang w:val="es-ES" w:eastAsia="en-US"/>
        </w:rPr>
        <w:t>grave.</w:t>
      </w:r>
      <w:r w:rsidRPr="00E31389">
        <w:rPr>
          <w:rFonts w:eastAsia="Calibri"/>
          <w:color w:val="000000"/>
          <w:vertAlign w:val="superscript"/>
          <w:lang w:val="es-ES" w:eastAsia="en-US"/>
        </w:rPr>
        <w:t>(</w:t>
      </w:r>
      <w:proofErr w:type="gramEnd"/>
      <w:r w:rsidRPr="00E31389">
        <w:rPr>
          <w:rFonts w:eastAsia="Calibri"/>
          <w:color w:val="000000"/>
          <w:vertAlign w:val="superscript"/>
          <w:lang w:val="es-ES" w:eastAsia="en-US"/>
        </w:rPr>
        <w:t>16,17,18,19)</w:t>
      </w:r>
    </w:p>
    <w:p w14:paraId="6294122D" w14:textId="77777777" w:rsidR="00E31389" w:rsidRPr="00E31389" w:rsidRDefault="00E31389" w:rsidP="00E31389">
      <w:pPr>
        <w:autoSpaceDE w:val="0"/>
        <w:autoSpaceDN w:val="0"/>
        <w:adjustRightInd w:val="0"/>
        <w:spacing w:line="360" w:lineRule="auto"/>
        <w:jc w:val="both"/>
        <w:rPr>
          <w:rFonts w:eastAsia="Calibri"/>
          <w:color w:val="000000"/>
          <w:vertAlign w:val="superscript"/>
          <w:lang w:val="es-ES" w:eastAsia="en-US"/>
        </w:rPr>
      </w:pPr>
      <w:r w:rsidRPr="00E31389">
        <w:rPr>
          <w:rFonts w:eastAsia="Calibri"/>
          <w:color w:val="000000"/>
          <w:lang w:val="es-ES" w:eastAsia="en-US"/>
        </w:rPr>
        <w:t xml:space="preserve">Este estudio constituye un punto de partida para nuevas investigaciones sobre esta enfermedad en pacientes en general, pero fundamentalmente en grupos vulnerables como es el caso de los pacientes en hemodiálisis. </w:t>
      </w:r>
    </w:p>
    <w:p w14:paraId="658A3631" w14:textId="77777777" w:rsidR="00E31389" w:rsidRPr="00E31389" w:rsidRDefault="00E31389" w:rsidP="00E31389">
      <w:pPr>
        <w:autoSpaceDE w:val="0"/>
        <w:autoSpaceDN w:val="0"/>
        <w:adjustRightInd w:val="0"/>
        <w:spacing w:line="360" w:lineRule="auto"/>
        <w:jc w:val="both"/>
        <w:rPr>
          <w:rFonts w:eastAsia="Calibri"/>
          <w:b/>
          <w:color w:val="0000FF"/>
          <w:lang w:val="es-ES" w:eastAsia="en-US"/>
        </w:rPr>
      </w:pPr>
      <w:r w:rsidRPr="00E31389">
        <w:rPr>
          <w:rFonts w:eastAsia="Calibri"/>
          <w:color w:val="000000"/>
          <w:lang w:val="es-ES" w:eastAsia="en-US"/>
        </w:rPr>
        <w:lastRenderedPageBreak/>
        <w:t>Entre las limitaciones, se debe mencionar que solo se tuvo en cuenta la forma clínica de presentación y las complementarias iniciales, realizados en el momento del diagnóstico. Un mayor tiempo de seguimiento pudiera contribuir a evaluar la evolución clínica y de los estudios de laboratorio, así como la tolerancia al tratamiento de este particular grupo de pacientes.</w:t>
      </w:r>
    </w:p>
    <w:p w14:paraId="024DDA95" w14:textId="77777777" w:rsidR="00E31389" w:rsidRPr="00E31389" w:rsidRDefault="00E31389" w:rsidP="00E31389">
      <w:pPr>
        <w:autoSpaceDE w:val="0"/>
        <w:autoSpaceDN w:val="0"/>
        <w:adjustRightInd w:val="0"/>
        <w:spacing w:line="360" w:lineRule="auto"/>
        <w:jc w:val="both"/>
        <w:rPr>
          <w:rFonts w:eastAsia="Calibri"/>
          <w:color w:val="000000"/>
          <w:lang w:val="es-ES" w:eastAsia="en-US"/>
        </w:rPr>
      </w:pPr>
      <w:r w:rsidRPr="00E31389">
        <w:rPr>
          <w:rFonts w:eastAsia="Calibri"/>
          <w:color w:val="000000"/>
          <w:lang w:val="es-ES" w:eastAsia="en-US"/>
        </w:rPr>
        <w:t xml:space="preserve">En los pacientes con enfermedad renal crónica en hemodiálisis diagnosticados con la COVID-19, fue frecuente el contacto previo con casos positivos como fuente de infección. Existieron pocas diferencias en el sexo en cuanto a la sintomatología, además presentaron </w:t>
      </w:r>
      <w:proofErr w:type="spellStart"/>
      <w:r w:rsidRPr="00E31389">
        <w:rPr>
          <w:rFonts w:eastAsia="Calibri"/>
          <w:color w:val="000000"/>
          <w:lang w:val="es-ES" w:eastAsia="en-US"/>
        </w:rPr>
        <w:t>linfopenia</w:t>
      </w:r>
      <w:proofErr w:type="spellEnd"/>
      <w:r w:rsidRPr="00E31389">
        <w:rPr>
          <w:rFonts w:eastAsia="Calibri"/>
          <w:color w:val="000000"/>
          <w:lang w:val="es-ES" w:eastAsia="en-US"/>
        </w:rPr>
        <w:t xml:space="preserve"> y de marcadores inflamatorios elevados en el momento del diagnóstico, fundamentalmente en los pacientes sintomáticos. </w:t>
      </w:r>
    </w:p>
    <w:p w14:paraId="7FC7455D" w14:textId="77777777" w:rsidR="00E31389" w:rsidRPr="00E31389" w:rsidRDefault="00E31389" w:rsidP="00E31389">
      <w:pPr>
        <w:spacing w:line="360" w:lineRule="auto"/>
        <w:jc w:val="both"/>
        <w:rPr>
          <w:rFonts w:eastAsia="Calibri" w:cs="Tahoma"/>
          <w:bCs/>
          <w:szCs w:val="20"/>
          <w:lang w:val="es-ES" w:eastAsia="en-US"/>
        </w:rPr>
      </w:pPr>
    </w:p>
    <w:p w14:paraId="1ABD0CAE" w14:textId="77777777" w:rsidR="00E31389" w:rsidRPr="00E31389" w:rsidRDefault="00E31389" w:rsidP="00E31389">
      <w:pPr>
        <w:spacing w:line="360" w:lineRule="auto"/>
        <w:rPr>
          <w:rFonts w:eastAsia="Calibri" w:cs="Arial"/>
          <w:b/>
          <w:szCs w:val="20"/>
          <w:lang w:val="es-ES" w:eastAsia="en-US"/>
        </w:rPr>
      </w:pPr>
    </w:p>
    <w:p w14:paraId="619C3E69" w14:textId="77777777" w:rsidR="00E31389" w:rsidRPr="00E31389" w:rsidRDefault="00E31389" w:rsidP="00E31389">
      <w:pPr>
        <w:spacing w:line="360" w:lineRule="auto"/>
        <w:jc w:val="center"/>
        <w:rPr>
          <w:rFonts w:eastAsia="Calibri" w:cs="Arial"/>
          <w:b/>
          <w:sz w:val="32"/>
          <w:szCs w:val="32"/>
          <w:lang w:val="es-ES" w:eastAsia="en-US"/>
        </w:rPr>
      </w:pPr>
      <w:r w:rsidRPr="00E31389">
        <w:rPr>
          <w:rFonts w:eastAsia="Calibri" w:cs="Arial"/>
          <w:b/>
          <w:sz w:val="32"/>
          <w:szCs w:val="32"/>
          <w:lang w:val="es-ES" w:eastAsia="en-US"/>
        </w:rPr>
        <w:t>REFERENCIAS BIBLIOGRÁFICAS</w:t>
      </w:r>
    </w:p>
    <w:p w14:paraId="42131BC2" w14:textId="77777777" w:rsidR="00E31389" w:rsidRPr="00E31389" w:rsidRDefault="00E31389" w:rsidP="00E31389">
      <w:pPr>
        <w:spacing w:line="360" w:lineRule="auto"/>
        <w:rPr>
          <w:rFonts w:eastAsia="Calibri"/>
          <w:szCs w:val="20"/>
          <w:lang w:val="en-US" w:eastAsia="en-US"/>
        </w:rPr>
      </w:pPr>
      <w:r w:rsidRPr="00E31389">
        <w:rPr>
          <w:rFonts w:eastAsia="Calibri"/>
          <w:lang w:val="es-CU" w:eastAsia="en-US"/>
        </w:rPr>
        <w:t xml:space="preserve">1. Cheng Y, </w:t>
      </w:r>
      <w:proofErr w:type="spellStart"/>
      <w:r w:rsidRPr="00E31389">
        <w:rPr>
          <w:rFonts w:eastAsia="Calibri"/>
          <w:lang w:val="es-CU" w:eastAsia="en-US"/>
        </w:rPr>
        <w:t>Luo</w:t>
      </w:r>
      <w:proofErr w:type="spellEnd"/>
      <w:r w:rsidRPr="00E31389">
        <w:rPr>
          <w:rFonts w:eastAsia="Calibri"/>
          <w:lang w:val="es-CU" w:eastAsia="en-US"/>
        </w:rPr>
        <w:t xml:space="preserve"> R, Wang K, Zhang M, Wang Z, Dong L, et al. </w:t>
      </w:r>
      <w:r w:rsidRPr="00E31389">
        <w:rPr>
          <w:rFonts w:eastAsia="Calibri"/>
          <w:lang w:val="en-US" w:eastAsia="en-US"/>
        </w:rPr>
        <w:t>Kidney disease is associated with in-hospital death of patients with COVID-19. Kidney Int. 2020 [</w:t>
      </w:r>
      <w:proofErr w:type="spellStart"/>
      <w:r w:rsidRPr="00E31389">
        <w:rPr>
          <w:rFonts w:eastAsia="Calibri"/>
          <w:lang w:val="en-US" w:eastAsia="en-US"/>
        </w:rPr>
        <w:t>acceso</w:t>
      </w:r>
      <w:proofErr w:type="spellEnd"/>
      <w:r w:rsidRPr="00E31389">
        <w:rPr>
          <w:rFonts w:eastAsia="Calibri"/>
          <w:lang w:val="en-US" w:eastAsia="en-US"/>
        </w:rPr>
        <w:t xml:space="preserve">: 20/04/2020];97(5):829-38. Disponible </w:t>
      </w:r>
      <w:proofErr w:type="spellStart"/>
      <w:r w:rsidRPr="00E31389">
        <w:rPr>
          <w:rFonts w:eastAsia="Calibri"/>
          <w:lang w:val="en-US" w:eastAsia="en-US"/>
        </w:rPr>
        <w:t>en</w:t>
      </w:r>
      <w:proofErr w:type="spellEnd"/>
      <w:r w:rsidRPr="00E31389">
        <w:rPr>
          <w:rFonts w:eastAsia="Calibri"/>
          <w:lang w:val="en-US" w:eastAsia="en-US"/>
        </w:rPr>
        <w:t xml:space="preserve">: </w:t>
      </w:r>
      <w:hyperlink r:id="rId20" w:history="1">
        <w:r w:rsidRPr="00E31389">
          <w:rPr>
            <w:rFonts w:eastAsia="Calibri"/>
            <w:color w:val="0000FF"/>
            <w:u w:val="single"/>
            <w:lang w:val="en-US" w:eastAsia="en-US"/>
          </w:rPr>
          <w:t>http://www.sciencedirect.com/science/article/pii/S0085253820302556</w:t>
        </w:r>
      </w:hyperlink>
    </w:p>
    <w:p w14:paraId="721CC49B" w14:textId="77777777" w:rsidR="00E31389" w:rsidRPr="00E31389" w:rsidRDefault="00E31389" w:rsidP="00E31389">
      <w:pPr>
        <w:spacing w:line="360" w:lineRule="auto"/>
        <w:rPr>
          <w:rFonts w:eastAsia="Calibri"/>
          <w:lang w:val="en-US" w:eastAsia="en-US"/>
        </w:rPr>
      </w:pPr>
      <w:r w:rsidRPr="00E31389">
        <w:rPr>
          <w:rFonts w:eastAsia="Calibri"/>
          <w:lang w:val="en-US" w:eastAsia="en-US"/>
        </w:rPr>
        <w:t xml:space="preserve">2. </w:t>
      </w:r>
      <w:proofErr w:type="spellStart"/>
      <w:r w:rsidRPr="00E31389">
        <w:rPr>
          <w:rFonts w:eastAsia="Calibri"/>
          <w:lang w:val="en-US" w:eastAsia="en-US"/>
        </w:rPr>
        <w:t>Lipsitch</w:t>
      </w:r>
      <w:proofErr w:type="spellEnd"/>
      <w:r w:rsidRPr="00E31389">
        <w:rPr>
          <w:rFonts w:eastAsia="Calibri"/>
          <w:lang w:val="en-US" w:eastAsia="en-US"/>
        </w:rPr>
        <w:t xml:space="preserve"> M, </w:t>
      </w:r>
      <w:proofErr w:type="spellStart"/>
      <w:r w:rsidRPr="00E31389">
        <w:rPr>
          <w:rFonts w:eastAsia="Calibri"/>
          <w:lang w:val="en-US" w:eastAsia="en-US"/>
        </w:rPr>
        <w:t>Swerdlow</w:t>
      </w:r>
      <w:proofErr w:type="spellEnd"/>
      <w:r w:rsidRPr="00E31389">
        <w:rPr>
          <w:rFonts w:eastAsia="Calibri"/>
          <w:lang w:val="en-US" w:eastAsia="en-US"/>
        </w:rPr>
        <w:t xml:space="preserve"> DL, </w:t>
      </w:r>
      <w:proofErr w:type="spellStart"/>
      <w:r w:rsidRPr="00E31389">
        <w:rPr>
          <w:rFonts w:eastAsia="Calibri"/>
          <w:lang w:val="en-US" w:eastAsia="en-US"/>
        </w:rPr>
        <w:t>Finelli</w:t>
      </w:r>
      <w:proofErr w:type="spellEnd"/>
      <w:r w:rsidRPr="00E31389">
        <w:rPr>
          <w:rFonts w:eastAsia="Calibri"/>
          <w:lang w:val="en-US" w:eastAsia="en-US"/>
        </w:rPr>
        <w:t xml:space="preserve"> L. Defining the Epidemiology of Covid-19-Studies Needed. N </w:t>
      </w:r>
      <w:proofErr w:type="spellStart"/>
      <w:r w:rsidRPr="00E31389">
        <w:rPr>
          <w:rFonts w:eastAsia="Calibri"/>
          <w:lang w:val="en-US" w:eastAsia="en-US"/>
        </w:rPr>
        <w:t>Engl</w:t>
      </w:r>
      <w:proofErr w:type="spellEnd"/>
      <w:r w:rsidRPr="00E31389">
        <w:rPr>
          <w:rFonts w:eastAsia="Calibri"/>
          <w:lang w:val="en-US" w:eastAsia="en-US"/>
        </w:rPr>
        <w:t xml:space="preserve"> J Med. 2020[</w:t>
      </w:r>
      <w:proofErr w:type="spellStart"/>
      <w:r w:rsidRPr="00E31389">
        <w:rPr>
          <w:rFonts w:eastAsia="Calibri"/>
          <w:lang w:val="en-US" w:eastAsia="en-US"/>
        </w:rPr>
        <w:t>acceso</w:t>
      </w:r>
      <w:proofErr w:type="spellEnd"/>
      <w:r w:rsidRPr="00E31389">
        <w:rPr>
          <w:rFonts w:eastAsia="Calibri"/>
          <w:lang w:val="en-US" w:eastAsia="en-US"/>
        </w:rPr>
        <w:t>: 20/05/2020];</w:t>
      </w:r>
      <w:r w:rsidRPr="00E31389">
        <w:rPr>
          <w:rFonts w:eastAsia="Calibri"/>
          <w:iCs/>
          <w:lang w:val="en-US" w:eastAsia="en-US"/>
        </w:rPr>
        <w:t>382</w:t>
      </w:r>
      <w:r w:rsidRPr="00E31389">
        <w:rPr>
          <w:rFonts w:eastAsia="Calibri"/>
          <w:lang w:val="en-US" w:eastAsia="en-US"/>
        </w:rPr>
        <w:t>(13):1194–96. DOI: 10.1056/NEJMp2002125</w:t>
      </w:r>
    </w:p>
    <w:p w14:paraId="54AF540F" w14:textId="77777777" w:rsidR="00E31389" w:rsidRPr="00E31389" w:rsidRDefault="00E31389" w:rsidP="00E31389">
      <w:pPr>
        <w:spacing w:line="360" w:lineRule="auto"/>
        <w:rPr>
          <w:rFonts w:eastAsia="Calibri"/>
          <w:lang w:val="en-US" w:eastAsia="en-US"/>
        </w:rPr>
      </w:pPr>
      <w:r w:rsidRPr="00E31389">
        <w:rPr>
          <w:rFonts w:eastAsia="Calibri"/>
          <w:lang w:val="en-US" w:eastAsia="en-US"/>
        </w:rPr>
        <w:t xml:space="preserve">3. Zhu N, Zhang D, Wang W, Li X, Yang B, Song J, et al. A novel coronavirus from patients with pneumonia in China, 2019. N </w:t>
      </w:r>
      <w:proofErr w:type="spellStart"/>
      <w:r w:rsidRPr="00E31389">
        <w:rPr>
          <w:rFonts w:eastAsia="Calibri"/>
          <w:lang w:val="en-US" w:eastAsia="en-US"/>
        </w:rPr>
        <w:t>Engl</w:t>
      </w:r>
      <w:proofErr w:type="spellEnd"/>
      <w:r w:rsidRPr="00E31389">
        <w:rPr>
          <w:rFonts w:eastAsia="Calibri"/>
          <w:lang w:val="en-US" w:eastAsia="en-US"/>
        </w:rPr>
        <w:t xml:space="preserve"> J Med. 2020[</w:t>
      </w:r>
      <w:proofErr w:type="spellStart"/>
      <w:r w:rsidRPr="00E31389">
        <w:rPr>
          <w:rFonts w:eastAsia="Calibri"/>
          <w:lang w:val="en-US" w:eastAsia="en-US"/>
        </w:rPr>
        <w:t>acceso</w:t>
      </w:r>
      <w:proofErr w:type="spellEnd"/>
      <w:r w:rsidRPr="00E31389">
        <w:rPr>
          <w:rFonts w:eastAsia="Calibri"/>
          <w:lang w:val="en-US" w:eastAsia="en-US"/>
        </w:rPr>
        <w:t>: 16/05/2020];382(8):727–33.</w:t>
      </w:r>
      <w:r w:rsidRPr="00E31389">
        <w:rPr>
          <w:rFonts w:ascii="Calibri" w:eastAsia="Calibri" w:hAnsi="Calibri"/>
          <w:sz w:val="22"/>
          <w:szCs w:val="22"/>
          <w:lang w:val="en-US" w:eastAsia="en-US"/>
        </w:rPr>
        <w:t xml:space="preserve"> </w:t>
      </w:r>
      <w:r w:rsidRPr="00E31389">
        <w:rPr>
          <w:rFonts w:eastAsia="Calibri"/>
          <w:lang w:val="en-US" w:eastAsia="en-US"/>
        </w:rPr>
        <w:t>DOI: 10.1056/NEJMoa2001017</w:t>
      </w:r>
    </w:p>
    <w:p w14:paraId="6538B710" w14:textId="77777777" w:rsidR="00E31389" w:rsidRPr="00E31389" w:rsidRDefault="00E31389" w:rsidP="00E31389">
      <w:pPr>
        <w:spacing w:line="360" w:lineRule="auto"/>
        <w:rPr>
          <w:rFonts w:eastAsia="Calibri"/>
          <w:szCs w:val="20"/>
          <w:lang w:val="es-ES" w:eastAsia="en-US"/>
        </w:rPr>
      </w:pPr>
      <w:r w:rsidRPr="00E31389">
        <w:rPr>
          <w:rFonts w:eastAsia="Calibri"/>
          <w:lang w:val="en-US" w:eastAsia="en-US"/>
        </w:rPr>
        <w:t xml:space="preserve">4. Shen C, Wang Z, Zhao F, Yang Y, Li J, Yuan J, et al. Treatment of 5 Critically III Patients with COVID-19 with Convalescent Plasma. </w:t>
      </w:r>
      <w:r w:rsidRPr="00E31389">
        <w:rPr>
          <w:rFonts w:eastAsia="Calibri"/>
          <w:lang w:val="es-CU" w:eastAsia="en-US"/>
        </w:rPr>
        <w:t xml:space="preserve">Jama. 2020[acceso: 22/05/2020];323(16):1582–89. </w:t>
      </w:r>
      <w:r w:rsidRPr="00E31389">
        <w:rPr>
          <w:rFonts w:eastAsia="Calibri"/>
          <w:lang w:val="es-ES" w:eastAsia="en-US"/>
        </w:rPr>
        <w:t xml:space="preserve">Disponible en: </w:t>
      </w:r>
      <w:hyperlink r:id="rId21" w:history="1">
        <w:r w:rsidRPr="00E31389">
          <w:rPr>
            <w:rFonts w:eastAsia="Calibri"/>
            <w:color w:val="0000FF"/>
            <w:u w:val="single"/>
            <w:lang w:val="es-ES" w:eastAsia="en-US"/>
          </w:rPr>
          <w:t>http://www.ncbi.nlm.nih.gov/pubmed/32219428</w:t>
        </w:r>
      </w:hyperlink>
    </w:p>
    <w:p w14:paraId="4BD3C511" w14:textId="77777777" w:rsidR="00E31389" w:rsidRPr="00E31389" w:rsidRDefault="00E31389" w:rsidP="00E31389">
      <w:pPr>
        <w:spacing w:line="360" w:lineRule="auto"/>
        <w:rPr>
          <w:rFonts w:eastAsia="Calibri"/>
          <w:lang w:val="en-US" w:eastAsia="en-US"/>
        </w:rPr>
      </w:pPr>
      <w:r w:rsidRPr="00E31389">
        <w:rPr>
          <w:rFonts w:eastAsia="Calibri"/>
          <w:lang w:val="en-US" w:eastAsia="en-US"/>
        </w:rPr>
        <w:t xml:space="preserve">5. </w:t>
      </w:r>
      <w:proofErr w:type="spellStart"/>
      <w:r w:rsidRPr="00E31389">
        <w:rPr>
          <w:rFonts w:eastAsia="Calibri"/>
          <w:lang w:val="en-US" w:eastAsia="en-US"/>
        </w:rPr>
        <w:t>Bajema</w:t>
      </w:r>
      <w:proofErr w:type="spellEnd"/>
      <w:r w:rsidRPr="00E31389">
        <w:rPr>
          <w:rFonts w:eastAsia="Calibri"/>
          <w:lang w:val="en-US" w:eastAsia="en-US"/>
        </w:rPr>
        <w:t xml:space="preserve"> KL, Oster AM, McGovern OL, Lindstrom S, Stenger MR, Anderson TC, et al. Persons Evaluated for 2019 Novel Coronavirus - United States, January 2020. MMWR </w:t>
      </w:r>
      <w:proofErr w:type="spellStart"/>
      <w:r w:rsidRPr="00E31389">
        <w:rPr>
          <w:rFonts w:eastAsia="Calibri"/>
          <w:lang w:val="en-US" w:eastAsia="en-US"/>
        </w:rPr>
        <w:t>Morb</w:t>
      </w:r>
      <w:proofErr w:type="spellEnd"/>
      <w:r w:rsidRPr="00E31389">
        <w:rPr>
          <w:rFonts w:eastAsia="Calibri"/>
          <w:lang w:val="en-US" w:eastAsia="en-US"/>
        </w:rPr>
        <w:t xml:space="preserve"> Mortal </w:t>
      </w:r>
      <w:proofErr w:type="spellStart"/>
      <w:r w:rsidRPr="00E31389">
        <w:rPr>
          <w:rFonts w:eastAsia="Calibri"/>
          <w:lang w:val="en-US" w:eastAsia="en-US"/>
        </w:rPr>
        <w:t>Wkly</w:t>
      </w:r>
      <w:proofErr w:type="spellEnd"/>
      <w:r w:rsidRPr="00E31389">
        <w:rPr>
          <w:rFonts w:eastAsia="Calibri"/>
          <w:lang w:val="en-US" w:eastAsia="en-US"/>
        </w:rPr>
        <w:t xml:space="preserve"> Rep. 2020[</w:t>
      </w:r>
      <w:proofErr w:type="spellStart"/>
      <w:r w:rsidRPr="00E31389">
        <w:rPr>
          <w:rFonts w:eastAsia="Calibri"/>
          <w:lang w:val="en-US" w:eastAsia="en-US"/>
        </w:rPr>
        <w:t>acceso</w:t>
      </w:r>
      <w:proofErr w:type="spellEnd"/>
      <w:r w:rsidRPr="00E31389">
        <w:rPr>
          <w:rFonts w:eastAsia="Calibri"/>
          <w:lang w:val="en-US" w:eastAsia="en-US"/>
        </w:rPr>
        <w:t>: 28/03/2020];69(6):166–70. DOI: 10.15585/mmwr.mm6906e1</w:t>
      </w:r>
    </w:p>
    <w:p w14:paraId="163BF85E" w14:textId="77777777" w:rsidR="00E31389" w:rsidRPr="00E31389" w:rsidRDefault="00E31389" w:rsidP="00E31389">
      <w:pPr>
        <w:spacing w:line="360" w:lineRule="auto"/>
        <w:rPr>
          <w:rFonts w:eastAsia="Calibri"/>
          <w:szCs w:val="20"/>
          <w:highlight w:val="yellow"/>
          <w:lang w:val="en-US" w:eastAsia="en-US"/>
        </w:rPr>
      </w:pPr>
      <w:r w:rsidRPr="00E31389">
        <w:rPr>
          <w:rFonts w:eastAsia="Calibri"/>
          <w:lang w:val="en-US" w:eastAsia="en-US"/>
        </w:rPr>
        <w:t>6. Wang D, Hu B, Hu C, Zhu F, Liu X, Zhang J, et al. Clinical Characteristics of 138 Hospitalized Patients with 2019 Novel Coronavirus-Infected Pneumonia in Wuhan, China. JAMA - J Am Med Assoc. 2020[</w:t>
      </w:r>
      <w:proofErr w:type="spellStart"/>
      <w:r w:rsidRPr="00E31389">
        <w:rPr>
          <w:rFonts w:eastAsia="Calibri"/>
          <w:lang w:val="en-US" w:eastAsia="en-US"/>
        </w:rPr>
        <w:t>acceso</w:t>
      </w:r>
      <w:proofErr w:type="spellEnd"/>
      <w:r w:rsidRPr="00E31389">
        <w:rPr>
          <w:rFonts w:eastAsia="Calibri"/>
          <w:lang w:val="en-US" w:eastAsia="en-US"/>
        </w:rPr>
        <w:t>: 15/05/2020];323(11):1061–9. DOI: 10.1001/jama.2020.1585</w:t>
      </w:r>
    </w:p>
    <w:p w14:paraId="15B3E3CD" w14:textId="77777777" w:rsidR="00E31389" w:rsidRPr="00E31389" w:rsidRDefault="00E31389" w:rsidP="00E31389">
      <w:pPr>
        <w:spacing w:line="360" w:lineRule="auto"/>
        <w:rPr>
          <w:rFonts w:eastAsia="Calibri"/>
          <w:szCs w:val="20"/>
          <w:lang w:val="es-ES" w:eastAsia="en-US"/>
        </w:rPr>
      </w:pPr>
      <w:r w:rsidRPr="00E31389">
        <w:rPr>
          <w:rFonts w:eastAsia="Calibri"/>
          <w:lang w:val="en-US" w:eastAsia="en-US"/>
        </w:rPr>
        <w:lastRenderedPageBreak/>
        <w:t xml:space="preserve">7. Park HC, Lee SH, Kim J, Kim DH, Cho A, Jeon HJ, et al. Effect of isolation practice on the transmission of Middle East respiratory syndrome coronavirus among hemodialysis patients: A 2-year prospective cohort study. </w:t>
      </w:r>
      <w:r w:rsidRPr="00E31389">
        <w:rPr>
          <w:rFonts w:eastAsia="Calibri"/>
          <w:lang w:val="es-CU" w:eastAsia="en-US"/>
        </w:rPr>
        <w:t>Medicine. 2020[acceso: 25/03/2020];99(3):</w:t>
      </w:r>
      <w:r w:rsidRPr="00E31389">
        <w:rPr>
          <w:rFonts w:ascii="Calibri" w:eastAsia="Calibri" w:hAnsi="Calibri"/>
          <w:sz w:val="22"/>
          <w:szCs w:val="22"/>
          <w:lang w:val="es-ES" w:eastAsia="en-US"/>
        </w:rPr>
        <w:t xml:space="preserve"> </w:t>
      </w:r>
      <w:r w:rsidRPr="00E31389">
        <w:rPr>
          <w:rFonts w:eastAsia="Calibri"/>
          <w:lang w:val="es-CU" w:eastAsia="en-US"/>
        </w:rPr>
        <w:t xml:space="preserve">e18782. </w:t>
      </w:r>
      <w:r w:rsidRPr="00E31389">
        <w:rPr>
          <w:rFonts w:eastAsia="Calibri"/>
          <w:lang w:val="es-ES" w:eastAsia="en-US"/>
        </w:rPr>
        <w:t xml:space="preserve">Disponible en: </w:t>
      </w:r>
      <w:hyperlink r:id="rId22" w:history="1">
        <w:r w:rsidRPr="00E31389">
          <w:rPr>
            <w:rFonts w:eastAsia="Calibri"/>
            <w:color w:val="0000FF"/>
            <w:u w:val="single"/>
            <w:lang w:val="es-ES" w:eastAsia="en-US"/>
          </w:rPr>
          <w:t>https://journals.lww.com/md-journal/fulltext/2020/01170/effect_of_isolation_practice_on_the_transmission.43.aspx</w:t>
        </w:r>
      </w:hyperlink>
      <w:r w:rsidRPr="00E31389">
        <w:rPr>
          <w:rFonts w:eastAsia="Calibri"/>
          <w:lang w:val="es-ES" w:eastAsia="en-US"/>
        </w:rPr>
        <w:t xml:space="preserve"> </w:t>
      </w:r>
    </w:p>
    <w:p w14:paraId="3136E50C" w14:textId="77777777" w:rsidR="00E31389" w:rsidRPr="00E31389" w:rsidRDefault="00E31389" w:rsidP="00E31389">
      <w:pPr>
        <w:spacing w:line="360" w:lineRule="auto"/>
        <w:rPr>
          <w:rFonts w:eastAsia="Calibri"/>
          <w:szCs w:val="20"/>
          <w:lang w:val="es-ES" w:eastAsia="en-US"/>
        </w:rPr>
      </w:pPr>
      <w:r w:rsidRPr="00E31389">
        <w:rPr>
          <w:rFonts w:eastAsia="Calibri"/>
          <w:lang w:val="es-ES" w:eastAsia="en-US"/>
        </w:rPr>
        <w:t xml:space="preserve">8. de Francisco ALM, Pérez Canga JL. Coronavirus y Riñón: actualización completa 09 de </w:t>
      </w:r>
      <w:proofErr w:type="gramStart"/>
      <w:r w:rsidRPr="00E31389">
        <w:rPr>
          <w:rFonts w:eastAsia="Calibri"/>
          <w:lang w:val="es-ES" w:eastAsia="en-US"/>
        </w:rPr>
        <w:t>Junio</w:t>
      </w:r>
      <w:proofErr w:type="gramEnd"/>
      <w:r w:rsidRPr="00E31389">
        <w:rPr>
          <w:rFonts w:eastAsia="Calibri"/>
          <w:lang w:val="es-ES" w:eastAsia="en-US"/>
        </w:rPr>
        <w:t xml:space="preserve"> de 2020. Barcelona: Nefrología al día, Sociedad Española de nefrología; </w:t>
      </w:r>
      <w:proofErr w:type="gramStart"/>
      <w:r w:rsidRPr="00E31389">
        <w:rPr>
          <w:rFonts w:eastAsia="Calibri"/>
          <w:lang w:val="es-ES" w:eastAsia="en-US"/>
        </w:rPr>
        <w:t>2020.[</w:t>
      </w:r>
      <w:proofErr w:type="gramEnd"/>
      <w:r w:rsidRPr="00E31389">
        <w:rPr>
          <w:rFonts w:eastAsia="Calibri"/>
          <w:lang w:val="es-ES" w:eastAsia="en-US"/>
        </w:rPr>
        <w:t xml:space="preserve">acceso: 29/05/2020]. Disponible en: </w:t>
      </w:r>
      <w:hyperlink r:id="rId23" w:history="1">
        <w:r w:rsidRPr="00E31389">
          <w:rPr>
            <w:rFonts w:eastAsia="Calibri"/>
            <w:color w:val="0000FF"/>
            <w:u w:val="single"/>
            <w:lang w:val="es-ES" w:eastAsia="en-US"/>
          </w:rPr>
          <w:t>https://www.nefrologiaaldia.org/es-articulo-coronavirus-rinon-actualizacion-completa-09-305</w:t>
        </w:r>
      </w:hyperlink>
      <w:r w:rsidRPr="00E31389">
        <w:rPr>
          <w:rFonts w:ascii="Calibri" w:eastAsia="Calibri" w:hAnsi="Calibri"/>
          <w:sz w:val="22"/>
          <w:szCs w:val="22"/>
          <w:lang w:val="es-ES" w:eastAsia="en-US"/>
        </w:rPr>
        <w:t xml:space="preserve"> </w:t>
      </w:r>
    </w:p>
    <w:p w14:paraId="21FDD255" w14:textId="77777777" w:rsidR="00E31389" w:rsidRPr="00E31389" w:rsidRDefault="00E31389" w:rsidP="00E31389">
      <w:pPr>
        <w:spacing w:line="360" w:lineRule="auto"/>
        <w:rPr>
          <w:rFonts w:eastAsia="Calibri"/>
          <w:szCs w:val="20"/>
          <w:lang w:val="es-ES" w:eastAsia="en-US"/>
        </w:rPr>
      </w:pPr>
      <w:r w:rsidRPr="00E31389">
        <w:rPr>
          <w:rFonts w:eastAsia="Calibri"/>
          <w:lang w:val="en-US" w:eastAsia="en-US"/>
        </w:rPr>
        <w:t xml:space="preserve">9. </w:t>
      </w:r>
      <w:proofErr w:type="spellStart"/>
      <w:r w:rsidRPr="00E31389">
        <w:rPr>
          <w:rFonts w:eastAsia="Calibri"/>
          <w:lang w:val="en-US" w:eastAsia="en-US"/>
        </w:rPr>
        <w:t>Perico</w:t>
      </w:r>
      <w:proofErr w:type="spellEnd"/>
      <w:r w:rsidRPr="00E31389">
        <w:rPr>
          <w:rFonts w:eastAsia="Calibri"/>
          <w:lang w:val="en-US" w:eastAsia="en-US"/>
        </w:rPr>
        <w:t xml:space="preserve"> L, Benigni A, </w:t>
      </w:r>
      <w:proofErr w:type="spellStart"/>
      <w:r w:rsidRPr="00E31389">
        <w:rPr>
          <w:rFonts w:eastAsia="Calibri"/>
          <w:lang w:val="en-US" w:eastAsia="en-US"/>
        </w:rPr>
        <w:t>Remuzzi</w:t>
      </w:r>
      <w:proofErr w:type="spellEnd"/>
      <w:r w:rsidRPr="00E31389">
        <w:rPr>
          <w:rFonts w:eastAsia="Calibri"/>
          <w:lang w:val="en-US" w:eastAsia="en-US"/>
        </w:rPr>
        <w:t xml:space="preserve"> G. Should COVID-19 Concern Nephrologists? Why and to What Extent? The Emerging Impasse of Angiotensin Blockade. </w:t>
      </w:r>
      <w:proofErr w:type="spellStart"/>
      <w:r w:rsidRPr="00E31389">
        <w:rPr>
          <w:rFonts w:eastAsia="Calibri"/>
          <w:lang w:val="es-ES" w:eastAsia="en-US"/>
        </w:rPr>
        <w:t>Nephron</w:t>
      </w:r>
      <w:proofErr w:type="spellEnd"/>
      <w:r w:rsidRPr="00E31389">
        <w:rPr>
          <w:rFonts w:eastAsia="Calibri"/>
          <w:lang w:val="es-ES" w:eastAsia="en-US"/>
        </w:rPr>
        <w:t>. 2020[acceso: 10/05/2020</w:t>
      </w:r>
      <w:proofErr w:type="gramStart"/>
      <w:r w:rsidRPr="00E31389">
        <w:rPr>
          <w:rFonts w:eastAsia="Calibri"/>
          <w:lang w:val="es-ES" w:eastAsia="en-US"/>
        </w:rPr>
        <w:t>];144:213</w:t>
      </w:r>
      <w:proofErr w:type="gramEnd"/>
      <w:r w:rsidRPr="00E31389">
        <w:rPr>
          <w:rFonts w:eastAsia="Calibri"/>
          <w:lang w:val="es-ES" w:eastAsia="en-US"/>
        </w:rPr>
        <w:t>–21. DOI: 10.1159/000507305</w:t>
      </w:r>
    </w:p>
    <w:p w14:paraId="217AB99C" w14:textId="77777777" w:rsidR="00E31389" w:rsidRPr="00E31389" w:rsidRDefault="00E31389" w:rsidP="00E31389">
      <w:pPr>
        <w:spacing w:line="360" w:lineRule="auto"/>
        <w:rPr>
          <w:rFonts w:eastAsia="Calibri"/>
          <w:szCs w:val="20"/>
          <w:lang w:val="es-ES" w:eastAsia="en-US"/>
        </w:rPr>
      </w:pPr>
      <w:r w:rsidRPr="00E31389">
        <w:rPr>
          <w:rFonts w:eastAsia="Calibri"/>
          <w:szCs w:val="20"/>
          <w:lang w:val="es-ES" w:eastAsia="en-US"/>
        </w:rPr>
        <w:t>10. Beltrán PAG, Carranza ED, Rubio FM, Márquez MP. Recomendaciones para el manejo del paciente con enfermedad renal crónica con SARS-Cov-2. Enfermería Clínica. 2020[acceso: 30/05/2020];</w:t>
      </w:r>
      <w:proofErr w:type="gramStart"/>
      <w:r w:rsidRPr="00E31389">
        <w:rPr>
          <w:rFonts w:eastAsia="Calibri"/>
          <w:szCs w:val="20"/>
          <w:lang w:val="es-ES" w:eastAsia="en-US"/>
        </w:rPr>
        <w:t>31:S</w:t>
      </w:r>
      <w:proofErr w:type="gramEnd"/>
      <w:r w:rsidRPr="00E31389">
        <w:rPr>
          <w:rFonts w:eastAsia="Calibri"/>
          <w:szCs w:val="20"/>
          <w:lang w:val="es-ES" w:eastAsia="en-US"/>
        </w:rPr>
        <w:t>55-61. DOI: 10.1016/j.enfcli.2020.05.017</w:t>
      </w:r>
    </w:p>
    <w:p w14:paraId="7C2F4805" w14:textId="77777777" w:rsidR="00E31389" w:rsidRPr="00E31389" w:rsidRDefault="00E31389" w:rsidP="00E31389">
      <w:pPr>
        <w:spacing w:line="360" w:lineRule="auto"/>
        <w:rPr>
          <w:rFonts w:eastAsia="Calibri"/>
          <w:szCs w:val="20"/>
          <w:lang w:val="en-US" w:eastAsia="en-US"/>
        </w:rPr>
      </w:pPr>
      <w:r w:rsidRPr="00E31389">
        <w:rPr>
          <w:rFonts w:eastAsia="Calibri"/>
          <w:szCs w:val="20"/>
          <w:lang w:val="es-ES" w:eastAsia="en-US"/>
        </w:rPr>
        <w:t xml:space="preserve">11. Albalate M, Arribas P, Torres E, Cintra M, Alcázar R, Puerta M, et al. Alta prevalencia de COVID-19 asintomático en hemodiálisis: Aprendiendo día a día el primer mes de pandemia de COVID-19. </w:t>
      </w:r>
      <w:proofErr w:type="spellStart"/>
      <w:r w:rsidRPr="00E31389">
        <w:rPr>
          <w:rFonts w:eastAsia="Calibri"/>
          <w:szCs w:val="20"/>
          <w:lang w:val="en-US" w:eastAsia="en-US"/>
        </w:rPr>
        <w:t>Nefrología</w:t>
      </w:r>
      <w:proofErr w:type="spellEnd"/>
      <w:r w:rsidRPr="00E31389">
        <w:rPr>
          <w:rFonts w:eastAsia="Calibri"/>
          <w:szCs w:val="20"/>
          <w:lang w:val="en-US" w:eastAsia="en-US"/>
        </w:rPr>
        <w:t>. 2020[</w:t>
      </w:r>
      <w:proofErr w:type="spellStart"/>
      <w:r w:rsidRPr="00E31389">
        <w:rPr>
          <w:rFonts w:eastAsia="Calibri"/>
          <w:szCs w:val="20"/>
          <w:lang w:val="en-US" w:eastAsia="en-US"/>
        </w:rPr>
        <w:t>acceso</w:t>
      </w:r>
      <w:proofErr w:type="spellEnd"/>
      <w:r w:rsidRPr="00E31389">
        <w:rPr>
          <w:rFonts w:eastAsia="Calibri"/>
          <w:szCs w:val="20"/>
          <w:lang w:val="en-US" w:eastAsia="en-US"/>
        </w:rPr>
        <w:t>: 30/04/2020];40(3):279-86. DOI: 10.1016/j.nefro.2020.04.005</w:t>
      </w:r>
    </w:p>
    <w:p w14:paraId="3CEAEA6B" w14:textId="77777777" w:rsidR="00E31389" w:rsidRPr="00E31389" w:rsidRDefault="00E31389" w:rsidP="00E31389">
      <w:pPr>
        <w:spacing w:line="360" w:lineRule="auto"/>
        <w:rPr>
          <w:rFonts w:eastAsia="Calibri"/>
          <w:szCs w:val="20"/>
          <w:lang w:val="en-US" w:eastAsia="en-US"/>
        </w:rPr>
      </w:pPr>
      <w:r w:rsidRPr="00E31389">
        <w:rPr>
          <w:rFonts w:eastAsia="Calibri"/>
          <w:color w:val="000000"/>
          <w:lang w:val="en-US" w:eastAsia="en-US"/>
        </w:rPr>
        <w:t>12. Tan L, Wang Q, Zhang D, Ding J, Huang Q, Tang YQ, et al. Lymphopenia predicts disease severity of COVID-19: a descriptive and predictive study, China. Signal Transduction and Targeted Therapy. 2020[</w:t>
      </w:r>
      <w:proofErr w:type="spellStart"/>
      <w:r w:rsidRPr="00E31389">
        <w:rPr>
          <w:rFonts w:eastAsia="Calibri"/>
          <w:color w:val="000000"/>
          <w:lang w:val="en-US" w:eastAsia="en-US"/>
        </w:rPr>
        <w:t>acceso</w:t>
      </w:r>
      <w:proofErr w:type="spellEnd"/>
      <w:r w:rsidRPr="00E31389">
        <w:rPr>
          <w:rFonts w:eastAsia="Calibri"/>
          <w:color w:val="000000"/>
          <w:lang w:val="en-US" w:eastAsia="en-US"/>
        </w:rPr>
        <w:t xml:space="preserve">: 12/05/2020];5(1):33. DOI: </w:t>
      </w:r>
      <w:r w:rsidRPr="00E31389">
        <w:rPr>
          <w:rFonts w:eastAsia="Calibri"/>
          <w:lang w:val="en-US" w:eastAsia="en-US"/>
        </w:rPr>
        <w:t>10.1038/s41392-020-0148-4</w:t>
      </w:r>
    </w:p>
    <w:p w14:paraId="1B2FD56D" w14:textId="77777777" w:rsidR="00E31389" w:rsidRPr="00E31389" w:rsidRDefault="00E31389" w:rsidP="00E31389">
      <w:pPr>
        <w:spacing w:line="360" w:lineRule="auto"/>
        <w:rPr>
          <w:rFonts w:eastAsia="Calibri"/>
          <w:szCs w:val="20"/>
          <w:lang w:val="en-US" w:eastAsia="en-US"/>
        </w:rPr>
      </w:pPr>
      <w:r w:rsidRPr="00E31389">
        <w:rPr>
          <w:rFonts w:eastAsia="Calibri"/>
          <w:szCs w:val="20"/>
          <w:lang w:val="en-US" w:eastAsia="en-US"/>
        </w:rPr>
        <w:t xml:space="preserve">13. Young BE, Ong SWX, </w:t>
      </w:r>
      <w:proofErr w:type="spellStart"/>
      <w:r w:rsidRPr="00E31389">
        <w:rPr>
          <w:rFonts w:eastAsia="Calibri"/>
          <w:szCs w:val="20"/>
          <w:lang w:val="en-US" w:eastAsia="en-US"/>
        </w:rPr>
        <w:t>Kalimuddin</w:t>
      </w:r>
      <w:proofErr w:type="spellEnd"/>
      <w:r w:rsidRPr="00E31389">
        <w:rPr>
          <w:rFonts w:eastAsia="Calibri"/>
          <w:szCs w:val="20"/>
          <w:lang w:val="en-US" w:eastAsia="en-US"/>
        </w:rPr>
        <w:t xml:space="preserve"> S, Low JG, Tan SY, </w:t>
      </w:r>
      <w:proofErr w:type="spellStart"/>
      <w:r w:rsidRPr="00E31389">
        <w:rPr>
          <w:rFonts w:eastAsia="Calibri"/>
          <w:szCs w:val="20"/>
          <w:lang w:val="en-US" w:eastAsia="en-US"/>
        </w:rPr>
        <w:t>Loh</w:t>
      </w:r>
      <w:proofErr w:type="spellEnd"/>
      <w:r w:rsidRPr="00E31389">
        <w:rPr>
          <w:rFonts w:eastAsia="Calibri"/>
          <w:szCs w:val="20"/>
          <w:lang w:val="en-US" w:eastAsia="en-US"/>
        </w:rPr>
        <w:t xml:space="preserve"> J, et al. Epidemiologic features and clinical course of patients infected with SARS-CoV-2 in Singapore. JAMA. 2020[</w:t>
      </w:r>
      <w:proofErr w:type="spellStart"/>
      <w:r w:rsidRPr="00E31389">
        <w:rPr>
          <w:rFonts w:eastAsia="Calibri"/>
          <w:szCs w:val="20"/>
          <w:lang w:val="en-US" w:eastAsia="en-US"/>
        </w:rPr>
        <w:t>acceso</w:t>
      </w:r>
      <w:proofErr w:type="spellEnd"/>
      <w:r w:rsidRPr="00E31389">
        <w:rPr>
          <w:rFonts w:eastAsia="Calibri"/>
          <w:szCs w:val="20"/>
          <w:lang w:val="en-US" w:eastAsia="en-US"/>
        </w:rPr>
        <w:t xml:space="preserve">: 22/03/2020];323(15):1488–94. DOI: 10.1001/jama.2020.3204 </w:t>
      </w:r>
    </w:p>
    <w:p w14:paraId="151B862D" w14:textId="77777777" w:rsidR="00E31389" w:rsidRPr="00E31389" w:rsidRDefault="00E31389" w:rsidP="00E31389">
      <w:pPr>
        <w:spacing w:line="360" w:lineRule="auto"/>
        <w:rPr>
          <w:rFonts w:eastAsia="Calibri"/>
          <w:szCs w:val="20"/>
          <w:lang w:val="en-US" w:eastAsia="en-US"/>
        </w:rPr>
      </w:pPr>
      <w:r w:rsidRPr="00E31389">
        <w:rPr>
          <w:rFonts w:eastAsia="Calibri"/>
          <w:szCs w:val="20"/>
          <w:lang w:val="en-US" w:eastAsia="en-US"/>
        </w:rPr>
        <w:t xml:space="preserve">14. Lippi G, </w:t>
      </w:r>
      <w:proofErr w:type="spellStart"/>
      <w:r w:rsidRPr="00E31389">
        <w:rPr>
          <w:rFonts w:eastAsia="Calibri"/>
          <w:szCs w:val="20"/>
          <w:lang w:val="en-US" w:eastAsia="en-US"/>
        </w:rPr>
        <w:t>Plebani</w:t>
      </w:r>
      <w:proofErr w:type="spellEnd"/>
      <w:r w:rsidRPr="00E31389">
        <w:rPr>
          <w:rFonts w:eastAsia="Calibri"/>
          <w:szCs w:val="20"/>
          <w:lang w:val="en-US" w:eastAsia="en-US"/>
        </w:rPr>
        <w:t xml:space="preserve"> M. Procalcitonin in patients with severe coronavirus disease 2019 (COVID-19): A metanalysis. </w:t>
      </w:r>
      <w:proofErr w:type="spellStart"/>
      <w:r w:rsidRPr="00E31389">
        <w:rPr>
          <w:rFonts w:eastAsia="Calibri"/>
          <w:szCs w:val="20"/>
          <w:lang w:val="en-US" w:eastAsia="en-US"/>
        </w:rPr>
        <w:t>Clinica</w:t>
      </w:r>
      <w:proofErr w:type="spellEnd"/>
      <w:r w:rsidRPr="00E31389">
        <w:rPr>
          <w:rFonts w:eastAsia="Calibri"/>
          <w:szCs w:val="20"/>
          <w:lang w:val="en-US" w:eastAsia="en-US"/>
        </w:rPr>
        <w:t xml:space="preserve"> </w:t>
      </w:r>
      <w:proofErr w:type="spellStart"/>
      <w:r w:rsidRPr="00E31389">
        <w:rPr>
          <w:rFonts w:eastAsia="Calibri"/>
          <w:szCs w:val="20"/>
          <w:lang w:val="en-US" w:eastAsia="en-US"/>
        </w:rPr>
        <w:t>Chimica</w:t>
      </w:r>
      <w:proofErr w:type="spellEnd"/>
      <w:r w:rsidRPr="00E31389">
        <w:rPr>
          <w:rFonts w:eastAsia="Calibri"/>
          <w:szCs w:val="20"/>
          <w:lang w:val="en-US" w:eastAsia="en-US"/>
        </w:rPr>
        <w:t xml:space="preserve"> Acta. 2020[</w:t>
      </w:r>
      <w:proofErr w:type="spellStart"/>
      <w:r w:rsidRPr="00E31389">
        <w:rPr>
          <w:rFonts w:eastAsia="Calibri"/>
          <w:szCs w:val="20"/>
          <w:lang w:val="en-US" w:eastAsia="en-US"/>
        </w:rPr>
        <w:t>acceso</w:t>
      </w:r>
      <w:proofErr w:type="spellEnd"/>
      <w:r w:rsidRPr="00E31389">
        <w:rPr>
          <w:rFonts w:eastAsia="Calibri"/>
          <w:szCs w:val="20"/>
          <w:lang w:val="en-US" w:eastAsia="en-US"/>
        </w:rPr>
        <w:t>: 10/06/2020</w:t>
      </w:r>
      <w:proofErr w:type="gramStart"/>
      <w:r w:rsidRPr="00E31389">
        <w:rPr>
          <w:rFonts w:eastAsia="Calibri"/>
          <w:szCs w:val="20"/>
          <w:lang w:val="en-US" w:eastAsia="en-US"/>
        </w:rPr>
        <w:t>];505:190</w:t>
      </w:r>
      <w:proofErr w:type="gramEnd"/>
      <w:r w:rsidRPr="00E31389">
        <w:rPr>
          <w:rFonts w:eastAsia="Calibri"/>
          <w:szCs w:val="20"/>
          <w:lang w:val="en-US" w:eastAsia="en-US"/>
        </w:rPr>
        <w:t>-1. DOI: 10.1016/j.cca.2020.03.004</w:t>
      </w:r>
    </w:p>
    <w:p w14:paraId="5BF71C13" w14:textId="77777777" w:rsidR="00E31389" w:rsidRPr="00E31389" w:rsidRDefault="00E31389" w:rsidP="00E31389">
      <w:pPr>
        <w:spacing w:line="360" w:lineRule="auto"/>
        <w:rPr>
          <w:rFonts w:eastAsia="Calibri"/>
          <w:szCs w:val="20"/>
          <w:lang w:val="en-US" w:eastAsia="en-US"/>
        </w:rPr>
      </w:pPr>
      <w:r w:rsidRPr="00E31389">
        <w:rPr>
          <w:rFonts w:eastAsia="Calibri"/>
          <w:szCs w:val="20"/>
          <w:lang w:val="en-US" w:eastAsia="en-US"/>
        </w:rPr>
        <w:lastRenderedPageBreak/>
        <w:t>15. Zhou B, She J, Wang J, Ma X. Utility of ferritin, procalcitonin, and C-reactive protein in severe patients with 2019 novel coronavirus disease. BMC Pulmonary Research Square [preprint]. [</w:t>
      </w:r>
      <w:proofErr w:type="spellStart"/>
      <w:r w:rsidRPr="00E31389">
        <w:rPr>
          <w:rFonts w:eastAsia="Calibri"/>
          <w:szCs w:val="20"/>
          <w:lang w:val="en-US" w:eastAsia="en-US"/>
        </w:rPr>
        <w:t>actualizado</w:t>
      </w:r>
      <w:proofErr w:type="spellEnd"/>
      <w:r w:rsidRPr="00E31389">
        <w:rPr>
          <w:rFonts w:eastAsia="Calibri"/>
          <w:szCs w:val="20"/>
          <w:lang w:val="en-US" w:eastAsia="en-US"/>
        </w:rPr>
        <w:t xml:space="preserve">: 19/03/2020; </w:t>
      </w:r>
      <w:proofErr w:type="spellStart"/>
      <w:r w:rsidRPr="00E31389">
        <w:rPr>
          <w:rFonts w:eastAsia="Calibri"/>
          <w:szCs w:val="20"/>
          <w:lang w:val="en-US" w:eastAsia="en-US"/>
        </w:rPr>
        <w:t>acceso</w:t>
      </w:r>
      <w:proofErr w:type="spellEnd"/>
      <w:r w:rsidRPr="00E31389">
        <w:rPr>
          <w:rFonts w:eastAsia="Calibri"/>
          <w:szCs w:val="20"/>
          <w:lang w:val="en-US" w:eastAsia="en-US"/>
        </w:rPr>
        <w:t>: 27/05/2020</w:t>
      </w:r>
      <w:proofErr w:type="gramStart"/>
      <w:r w:rsidRPr="00E31389">
        <w:rPr>
          <w:rFonts w:eastAsia="Calibri"/>
          <w:szCs w:val="20"/>
          <w:lang w:val="en-US" w:eastAsia="en-US"/>
        </w:rPr>
        <w:t>]:[</w:t>
      </w:r>
      <w:proofErr w:type="gramEnd"/>
      <w:r w:rsidRPr="00E31389">
        <w:rPr>
          <w:rFonts w:eastAsia="Calibri"/>
          <w:szCs w:val="20"/>
          <w:lang w:val="en-US" w:eastAsia="en-US"/>
        </w:rPr>
        <w:t xml:space="preserve">12 p]. </w:t>
      </w:r>
      <w:r w:rsidRPr="00E31389">
        <w:rPr>
          <w:rFonts w:eastAsia="Calibri"/>
          <w:bCs/>
          <w:szCs w:val="20"/>
          <w:lang w:val="en-US" w:eastAsia="en-US"/>
        </w:rPr>
        <w:t xml:space="preserve">DOI: </w:t>
      </w:r>
      <w:r w:rsidRPr="00E31389">
        <w:rPr>
          <w:rFonts w:eastAsia="Calibri"/>
          <w:szCs w:val="20"/>
          <w:lang w:val="en-US" w:eastAsia="en-US"/>
        </w:rPr>
        <w:t>10.21203/rs.3.rs-18079/v1</w:t>
      </w:r>
    </w:p>
    <w:p w14:paraId="31FCF9CB" w14:textId="77777777" w:rsidR="00E31389" w:rsidRPr="00E31389" w:rsidRDefault="00E31389" w:rsidP="00E31389">
      <w:pPr>
        <w:spacing w:line="360" w:lineRule="auto"/>
        <w:rPr>
          <w:rFonts w:eastAsia="Calibri"/>
          <w:szCs w:val="20"/>
          <w:lang w:val="es-ES" w:eastAsia="en-US"/>
        </w:rPr>
      </w:pPr>
      <w:r w:rsidRPr="00E31389">
        <w:rPr>
          <w:rFonts w:eastAsia="Calibri"/>
          <w:szCs w:val="20"/>
          <w:lang w:val="en-US" w:eastAsia="en-US"/>
        </w:rPr>
        <w:t xml:space="preserve">16. Ma Y, </w:t>
      </w:r>
      <w:proofErr w:type="spellStart"/>
      <w:r w:rsidRPr="00E31389">
        <w:rPr>
          <w:rFonts w:eastAsia="Calibri"/>
          <w:szCs w:val="20"/>
          <w:lang w:val="en-US" w:eastAsia="en-US"/>
        </w:rPr>
        <w:t>Diao</w:t>
      </w:r>
      <w:proofErr w:type="spellEnd"/>
      <w:r w:rsidRPr="00E31389">
        <w:rPr>
          <w:rFonts w:eastAsia="Calibri"/>
          <w:szCs w:val="20"/>
          <w:lang w:val="en-US" w:eastAsia="en-US"/>
        </w:rPr>
        <w:t xml:space="preserve"> B, </w:t>
      </w:r>
      <w:proofErr w:type="spellStart"/>
      <w:r w:rsidRPr="00E31389">
        <w:rPr>
          <w:rFonts w:eastAsia="Calibri"/>
          <w:szCs w:val="20"/>
          <w:lang w:val="en-US" w:eastAsia="en-US"/>
        </w:rPr>
        <w:t>Lv</w:t>
      </w:r>
      <w:proofErr w:type="spellEnd"/>
      <w:r w:rsidRPr="00E31389">
        <w:rPr>
          <w:rFonts w:eastAsia="Calibri"/>
          <w:szCs w:val="20"/>
          <w:lang w:val="en-US" w:eastAsia="en-US"/>
        </w:rPr>
        <w:t xml:space="preserve"> X, Zhu J, Liang W, Liu L, et al. 2019 novel coronavirus disease in hemodialysis (HD) patients: Report from one HD center in Wuhan, China. </w:t>
      </w:r>
      <w:proofErr w:type="spellStart"/>
      <w:r w:rsidRPr="00E31389">
        <w:rPr>
          <w:rFonts w:eastAsia="Calibri"/>
          <w:szCs w:val="20"/>
          <w:lang w:val="en-US" w:eastAsia="en-US"/>
        </w:rPr>
        <w:t>medRxiv</w:t>
      </w:r>
      <w:proofErr w:type="spellEnd"/>
      <w:r w:rsidRPr="00E31389">
        <w:rPr>
          <w:rFonts w:eastAsia="Calibri"/>
          <w:szCs w:val="20"/>
          <w:lang w:val="en-US" w:eastAsia="en-US"/>
        </w:rPr>
        <w:t xml:space="preserve"> [preprint]. </w:t>
      </w:r>
      <w:r w:rsidRPr="00E31389">
        <w:rPr>
          <w:rFonts w:eastAsia="Calibri"/>
          <w:szCs w:val="20"/>
          <w:lang w:val="es-CU" w:eastAsia="en-US"/>
        </w:rPr>
        <w:t xml:space="preserve">[actualizado: 27/02/2020; acceso: 17/03/2020]. </w:t>
      </w:r>
      <w:r w:rsidRPr="00E31389">
        <w:rPr>
          <w:rFonts w:eastAsia="Calibri"/>
          <w:szCs w:val="20"/>
          <w:lang w:val="es-ES" w:eastAsia="en-US"/>
        </w:rPr>
        <w:t xml:space="preserve">Disponible en: </w:t>
      </w:r>
      <w:hyperlink r:id="rId24" w:history="1">
        <w:r w:rsidRPr="00E31389">
          <w:rPr>
            <w:rFonts w:eastAsia="Calibri"/>
            <w:color w:val="0000FF"/>
            <w:szCs w:val="20"/>
            <w:u w:val="single"/>
            <w:lang w:val="es-ES" w:eastAsia="en-US"/>
          </w:rPr>
          <w:t>https://www.medrxiv.org/content/10.1101/2020.02.24.20027201v2.full.pdf</w:t>
        </w:r>
      </w:hyperlink>
    </w:p>
    <w:p w14:paraId="5107A202" w14:textId="77777777" w:rsidR="00E31389" w:rsidRPr="00E31389" w:rsidRDefault="00E31389" w:rsidP="00E31389">
      <w:pPr>
        <w:spacing w:line="360" w:lineRule="auto"/>
        <w:rPr>
          <w:rFonts w:eastAsia="Calibri"/>
          <w:szCs w:val="20"/>
          <w:lang w:val="en-US" w:eastAsia="en-US"/>
        </w:rPr>
      </w:pPr>
      <w:r w:rsidRPr="00E31389">
        <w:rPr>
          <w:rFonts w:eastAsia="Calibri"/>
          <w:szCs w:val="20"/>
          <w:lang w:val="es-ES" w:eastAsia="en-US"/>
        </w:rPr>
        <w:t xml:space="preserve">17. </w:t>
      </w:r>
      <w:proofErr w:type="spellStart"/>
      <w:r w:rsidRPr="00E31389">
        <w:rPr>
          <w:rFonts w:eastAsia="Calibri"/>
          <w:szCs w:val="20"/>
          <w:lang w:val="es-ES" w:eastAsia="en-US"/>
        </w:rPr>
        <w:t>Alberici</w:t>
      </w:r>
      <w:proofErr w:type="spellEnd"/>
      <w:r w:rsidRPr="00E31389">
        <w:rPr>
          <w:rFonts w:eastAsia="Calibri"/>
          <w:szCs w:val="20"/>
          <w:lang w:val="es-ES" w:eastAsia="en-US"/>
        </w:rPr>
        <w:t xml:space="preserve"> F, </w:t>
      </w:r>
      <w:proofErr w:type="spellStart"/>
      <w:r w:rsidRPr="00E31389">
        <w:rPr>
          <w:rFonts w:eastAsia="Calibri"/>
          <w:szCs w:val="20"/>
          <w:lang w:val="es-ES" w:eastAsia="en-US"/>
        </w:rPr>
        <w:t>Delbarba</w:t>
      </w:r>
      <w:proofErr w:type="spellEnd"/>
      <w:r w:rsidRPr="00E31389">
        <w:rPr>
          <w:rFonts w:eastAsia="Calibri"/>
          <w:szCs w:val="20"/>
          <w:lang w:val="es-ES" w:eastAsia="en-US"/>
        </w:rPr>
        <w:t xml:space="preserve"> E, </w:t>
      </w:r>
      <w:proofErr w:type="spellStart"/>
      <w:r w:rsidRPr="00E31389">
        <w:rPr>
          <w:rFonts w:eastAsia="Calibri"/>
          <w:szCs w:val="20"/>
          <w:lang w:val="es-ES" w:eastAsia="en-US"/>
        </w:rPr>
        <w:t>Manenti</w:t>
      </w:r>
      <w:proofErr w:type="spellEnd"/>
      <w:r w:rsidRPr="00E31389">
        <w:rPr>
          <w:rFonts w:eastAsia="Calibri"/>
          <w:szCs w:val="20"/>
          <w:lang w:val="es-ES" w:eastAsia="en-US"/>
        </w:rPr>
        <w:t xml:space="preserve"> C, </w:t>
      </w:r>
      <w:proofErr w:type="spellStart"/>
      <w:r w:rsidRPr="00E31389">
        <w:rPr>
          <w:rFonts w:eastAsia="Calibri"/>
          <w:szCs w:val="20"/>
          <w:lang w:val="es-ES" w:eastAsia="en-US"/>
        </w:rPr>
        <w:t>Econimo</w:t>
      </w:r>
      <w:proofErr w:type="spellEnd"/>
      <w:r w:rsidRPr="00E31389">
        <w:rPr>
          <w:rFonts w:eastAsia="Calibri"/>
          <w:szCs w:val="20"/>
          <w:lang w:val="es-ES" w:eastAsia="en-US"/>
        </w:rPr>
        <w:t xml:space="preserve"> L, Valerio F, Pola A, et al. </w:t>
      </w:r>
      <w:r w:rsidRPr="00E31389">
        <w:rPr>
          <w:rFonts w:eastAsia="Calibri"/>
          <w:szCs w:val="20"/>
          <w:lang w:val="en-US" w:eastAsia="en-US"/>
        </w:rPr>
        <w:t>Management of patients on dialysis and with kidney transplant during SARS-CoV-2 (COVID-19) pandemic in Brescia, Italy. Kidney Int Rep. 2020[</w:t>
      </w:r>
      <w:proofErr w:type="spellStart"/>
      <w:r w:rsidRPr="00E31389">
        <w:rPr>
          <w:rFonts w:eastAsia="Calibri"/>
          <w:szCs w:val="20"/>
          <w:lang w:val="en-US" w:eastAsia="en-US"/>
        </w:rPr>
        <w:t>acceso</w:t>
      </w:r>
      <w:proofErr w:type="spellEnd"/>
      <w:r w:rsidRPr="00E31389">
        <w:rPr>
          <w:rFonts w:eastAsia="Calibri"/>
          <w:szCs w:val="20"/>
          <w:lang w:val="en-US" w:eastAsia="en-US"/>
        </w:rPr>
        <w:t>: 16/05/2020];5(5):580-5. DOI: 10.1016/j.ekir.2020.04.001</w:t>
      </w:r>
    </w:p>
    <w:p w14:paraId="2CDF0896" w14:textId="77777777" w:rsidR="00E31389" w:rsidRPr="00E31389" w:rsidRDefault="00E31389" w:rsidP="00E31389">
      <w:pPr>
        <w:spacing w:line="360" w:lineRule="auto"/>
        <w:rPr>
          <w:rFonts w:eastAsia="Calibri"/>
          <w:szCs w:val="20"/>
          <w:lang w:val="en-US" w:eastAsia="en-US"/>
        </w:rPr>
      </w:pPr>
      <w:r w:rsidRPr="00E31389">
        <w:rPr>
          <w:rFonts w:eastAsia="Calibri"/>
          <w:szCs w:val="20"/>
          <w:lang w:val="en-US" w:eastAsia="en-US"/>
        </w:rPr>
        <w:t xml:space="preserve">18. Henry BM, de Oliveira MHS, Benoit S, </w:t>
      </w:r>
      <w:proofErr w:type="spellStart"/>
      <w:r w:rsidRPr="00E31389">
        <w:rPr>
          <w:rFonts w:eastAsia="Calibri"/>
          <w:szCs w:val="20"/>
          <w:lang w:val="en-US" w:eastAsia="en-US"/>
        </w:rPr>
        <w:t>Plebani</w:t>
      </w:r>
      <w:proofErr w:type="spellEnd"/>
      <w:r w:rsidRPr="00E31389">
        <w:rPr>
          <w:rFonts w:eastAsia="Calibri"/>
          <w:szCs w:val="20"/>
          <w:lang w:val="en-US" w:eastAsia="en-US"/>
        </w:rPr>
        <w:t xml:space="preserve"> M, Lippi G. Hematologic, biochemical and immune biomarker abnormalities associated with severe illness and mortality in coronavirus disease 2019 (COVID-19): A meta-analysis. Clin Chem Lab Med. 2020[</w:t>
      </w:r>
      <w:proofErr w:type="spellStart"/>
      <w:r w:rsidRPr="00E31389">
        <w:rPr>
          <w:rFonts w:eastAsia="Calibri"/>
          <w:szCs w:val="20"/>
          <w:lang w:val="en-US" w:eastAsia="en-US"/>
        </w:rPr>
        <w:t>acceso</w:t>
      </w:r>
      <w:proofErr w:type="spellEnd"/>
      <w:r w:rsidRPr="00E31389">
        <w:rPr>
          <w:rFonts w:eastAsia="Calibri"/>
          <w:szCs w:val="20"/>
          <w:lang w:val="en-US" w:eastAsia="en-US"/>
        </w:rPr>
        <w:t xml:space="preserve">: 19/05/2020];58(7):1021-28. DOI: 10.1515/cclm-2020-0369 </w:t>
      </w:r>
    </w:p>
    <w:p w14:paraId="03591E84" w14:textId="77777777" w:rsidR="00E31389" w:rsidRPr="00E31389" w:rsidRDefault="00E31389" w:rsidP="00E31389">
      <w:pPr>
        <w:spacing w:line="360" w:lineRule="auto"/>
        <w:rPr>
          <w:rFonts w:eastAsia="Calibri"/>
          <w:szCs w:val="20"/>
          <w:lang w:val="es-ES" w:eastAsia="en-US"/>
        </w:rPr>
      </w:pPr>
      <w:r w:rsidRPr="00B32AD5">
        <w:rPr>
          <w:rFonts w:eastAsia="Calibri"/>
          <w:szCs w:val="20"/>
          <w:lang w:val="es-CU" w:eastAsia="en-US"/>
        </w:rPr>
        <w:t xml:space="preserve">19. Pérez Abreu MR, Gómez Tejeda JJ, </w:t>
      </w:r>
      <w:proofErr w:type="spellStart"/>
      <w:r w:rsidRPr="00B32AD5">
        <w:rPr>
          <w:rFonts w:eastAsia="Calibri"/>
          <w:szCs w:val="20"/>
          <w:lang w:val="es-CU" w:eastAsia="en-US"/>
        </w:rPr>
        <w:t>Dieguez</w:t>
      </w:r>
      <w:proofErr w:type="spellEnd"/>
      <w:r w:rsidRPr="00B32AD5">
        <w:rPr>
          <w:rFonts w:eastAsia="Calibri"/>
          <w:szCs w:val="20"/>
          <w:lang w:val="es-CU" w:eastAsia="en-US"/>
        </w:rPr>
        <w:t xml:space="preserve"> </w:t>
      </w:r>
      <w:proofErr w:type="spellStart"/>
      <w:r w:rsidRPr="00B32AD5">
        <w:rPr>
          <w:rFonts w:eastAsia="Calibri"/>
          <w:szCs w:val="20"/>
          <w:lang w:val="es-CU" w:eastAsia="en-US"/>
        </w:rPr>
        <w:t>Guach</w:t>
      </w:r>
      <w:proofErr w:type="spellEnd"/>
      <w:r w:rsidRPr="00B32AD5">
        <w:rPr>
          <w:rFonts w:eastAsia="Calibri"/>
          <w:szCs w:val="20"/>
          <w:lang w:val="es-CU" w:eastAsia="en-US"/>
        </w:rPr>
        <w:t xml:space="preserve"> RA. </w:t>
      </w:r>
      <w:r w:rsidRPr="00E31389">
        <w:rPr>
          <w:rFonts w:eastAsia="Calibri"/>
          <w:szCs w:val="20"/>
          <w:lang w:val="es-ES" w:eastAsia="en-US"/>
        </w:rPr>
        <w:t xml:space="preserve">Características clínico-epidemiológicas de la COVID-19. </w:t>
      </w:r>
      <w:proofErr w:type="spellStart"/>
      <w:r w:rsidRPr="00E31389">
        <w:rPr>
          <w:rFonts w:eastAsia="Calibri"/>
          <w:szCs w:val="20"/>
          <w:lang w:val="es-ES" w:eastAsia="en-US"/>
        </w:rPr>
        <w:t>Rev</w:t>
      </w:r>
      <w:proofErr w:type="spellEnd"/>
      <w:r w:rsidRPr="00E31389">
        <w:rPr>
          <w:rFonts w:eastAsia="Calibri"/>
          <w:szCs w:val="20"/>
          <w:lang w:val="es-ES" w:eastAsia="en-US"/>
        </w:rPr>
        <w:t xml:space="preserve"> </w:t>
      </w:r>
      <w:proofErr w:type="spellStart"/>
      <w:r w:rsidRPr="00E31389">
        <w:rPr>
          <w:rFonts w:eastAsia="Calibri"/>
          <w:szCs w:val="20"/>
          <w:lang w:val="es-ES" w:eastAsia="en-US"/>
        </w:rPr>
        <w:t>haban</w:t>
      </w:r>
      <w:proofErr w:type="spellEnd"/>
      <w:r w:rsidRPr="00E31389">
        <w:rPr>
          <w:rFonts w:eastAsia="Calibri"/>
          <w:szCs w:val="20"/>
          <w:lang w:val="es-ES" w:eastAsia="en-US"/>
        </w:rPr>
        <w:t xml:space="preserve"> </w:t>
      </w:r>
      <w:proofErr w:type="spellStart"/>
      <w:r w:rsidRPr="00E31389">
        <w:rPr>
          <w:rFonts w:eastAsia="Calibri"/>
          <w:szCs w:val="20"/>
          <w:lang w:val="es-ES" w:eastAsia="en-US"/>
        </w:rPr>
        <w:t>cienc</w:t>
      </w:r>
      <w:proofErr w:type="spellEnd"/>
      <w:r w:rsidRPr="00E31389">
        <w:rPr>
          <w:rFonts w:eastAsia="Calibri"/>
          <w:szCs w:val="20"/>
          <w:lang w:val="es-ES" w:eastAsia="en-US"/>
        </w:rPr>
        <w:t xml:space="preserve"> </w:t>
      </w:r>
      <w:proofErr w:type="spellStart"/>
      <w:r w:rsidRPr="00E31389">
        <w:rPr>
          <w:rFonts w:eastAsia="Calibri"/>
          <w:szCs w:val="20"/>
          <w:lang w:val="es-ES" w:eastAsia="en-US"/>
        </w:rPr>
        <w:t>méd</w:t>
      </w:r>
      <w:proofErr w:type="spellEnd"/>
      <w:r w:rsidRPr="00E31389">
        <w:rPr>
          <w:rFonts w:eastAsia="Calibri"/>
          <w:szCs w:val="20"/>
          <w:lang w:val="es-ES" w:eastAsia="en-US"/>
        </w:rPr>
        <w:t>. 2020[acceso: 11/05/2020];19(2</w:t>
      </w:r>
      <w:proofErr w:type="gramStart"/>
      <w:r w:rsidRPr="00E31389">
        <w:rPr>
          <w:rFonts w:eastAsia="Calibri"/>
          <w:szCs w:val="20"/>
          <w:lang w:val="es-ES" w:eastAsia="en-US"/>
        </w:rPr>
        <w:t>):e</w:t>
      </w:r>
      <w:proofErr w:type="gramEnd"/>
      <w:r w:rsidRPr="00E31389">
        <w:rPr>
          <w:rFonts w:eastAsia="Calibri"/>
          <w:szCs w:val="20"/>
          <w:lang w:val="es-ES" w:eastAsia="en-US"/>
        </w:rPr>
        <w:t xml:space="preserve">_3254. Disponible en: </w:t>
      </w:r>
      <w:hyperlink r:id="rId25" w:history="1">
        <w:r w:rsidRPr="00E31389">
          <w:rPr>
            <w:rFonts w:eastAsia="Calibri"/>
            <w:color w:val="0000FF"/>
            <w:szCs w:val="20"/>
            <w:u w:val="single"/>
            <w:lang w:val="es-ES" w:eastAsia="en-US"/>
          </w:rPr>
          <w:t>http://www.revhabanera.sld.cu/index.php/rhab/article/view/3254/2505</w:t>
        </w:r>
      </w:hyperlink>
    </w:p>
    <w:p w14:paraId="0CF44E07" w14:textId="77777777" w:rsidR="00E31389" w:rsidRPr="00E31389" w:rsidRDefault="00E31389" w:rsidP="00E31389">
      <w:pPr>
        <w:spacing w:line="360" w:lineRule="auto"/>
        <w:contextualSpacing/>
        <w:rPr>
          <w:rFonts w:eastAsia="Calibri"/>
          <w:szCs w:val="20"/>
          <w:lang w:val="es-ES" w:eastAsia="en-US"/>
        </w:rPr>
      </w:pPr>
    </w:p>
    <w:p w14:paraId="13620C22" w14:textId="77777777" w:rsidR="00E31389" w:rsidRPr="00E31389" w:rsidRDefault="00E31389" w:rsidP="00E31389">
      <w:pPr>
        <w:spacing w:line="360" w:lineRule="auto"/>
        <w:contextualSpacing/>
        <w:rPr>
          <w:rFonts w:eastAsia="Calibri"/>
          <w:szCs w:val="20"/>
          <w:lang w:val="es-ES" w:eastAsia="en-US"/>
        </w:rPr>
      </w:pPr>
    </w:p>
    <w:p w14:paraId="3378208F" w14:textId="77777777" w:rsidR="00E31389" w:rsidRPr="00E31389" w:rsidRDefault="00E31389" w:rsidP="00E31389">
      <w:pPr>
        <w:spacing w:line="360" w:lineRule="auto"/>
        <w:jc w:val="center"/>
        <w:rPr>
          <w:rFonts w:eastAsia="Calibri" w:cs="Arial"/>
          <w:szCs w:val="20"/>
          <w:lang w:val="es-ES" w:eastAsia="en-US"/>
        </w:rPr>
      </w:pPr>
      <w:r w:rsidRPr="00E31389">
        <w:rPr>
          <w:rFonts w:eastAsia="Calibri" w:cs="Tahoma"/>
          <w:b/>
          <w:bCs/>
          <w:szCs w:val="20"/>
          <w:lang w:val="es-ES" w:eastAsia="en-US"/>
        </w:rPr>
        <w:t>Conflictos de intereses</w:t>
      </w:r>
    </w:p>
    <w:p w14:paraId="2285EE3C" w14:textId="77777777" w:rsidR="00E31389" w:rsidRPr="00E31389" w:rsidRDefault="00E31389" w:rsidP="00E31389">
      <w:pPr>
        <w:spacing w:line="360" w:lineRule="auto"/>
        <w:rPr>
          <w:rFonts w:eastAsia="Calibri" w:cs="Tahoma"/>
          <w:bCs/>
          <w:szCs w:val="20"/>
          <w:lang w:val="es-ES" w:eastAsia="en-US"/>
        </w:rPr>
      </w:pPr>
      <w:r w:rsidRPr="00E31389">
        <w:rPr>
          <w:rFonts w:eastAsia="Calibri" w:cs="Tahoma"/>
          <w:bCs/>
          <w:szCs w:val="20"/>
          <w:lang w:val="es-ES" w:eastAsia="en-US"/>
        </w:rPr>
        <w:t>Los autores no declaran conflictos de intereses relacionados con la presente investigación.</w:t>
      </w:r>
    </w:p>
    <w:p w14:paraId="071136F0" w14:textId="77777777" w:rsidR="00E31389" w:rsidRPr="00E31389" w:rsidRDefault="00E31389" w:rsidP="00E31389">
      <w:pPr>
        <w:spacing w:line="360" w:lineRule="auto"/>
        <w:rPr>
          <w:rFonts w:eastAsia="Calibri" w:cs="Tahoma"/>
          <w:bCs/>
          <w:szCs w:val="20"/>
          <w:lang w:val="es-ES" w:eastAsia="en-US"/>
        </w:rPr>
      </w:pPr>
    </w:p>
    <w:p w14:paraId="3A753F13" w14:textId="77777777" w:rsidR="00E31389" w:rsidRPr="00E31389" w:rsidRDefault="00E31389" w:rsidP="00E31389">
      <w:pPr>
        <w:spacing w:line="360" w:lineRule="auto"/>
        <w:jc w:val="center"/>
        <w:rPr>
          <w:rFonts w:eastAsia="Calibri" w:cs="Tahoma"/>
          <w:b/>
          <w:bCs/>
          <w:szCs w:val="20"/>
          <w:lang w:val="es-ES" w:eastAsia="en-US"/>
        </w:rPr>
      </w:pPr>
      <w:r w:rsidRPr="00E31389">
        <w:rPr>
          <w:rFonts w:eastAsia="Calibri" w:cs="Tahoma"/>
          <w:b/>
          <w:bCs/>
          <w:szCs w:val="20"/>
          <w:lang w:val="es-ES" w:eastAsia="en-US"/>
        </w:rPr>
        <w:t>Contribuciones de los autores</w:t>
      </w:r>
    </w:p>
    <w:p w14:paraId="3F0183FC" w14:textId="77777777" w:rsidR="00E31389" w:rsidRPr="00E31389" w:rsidRDefault="00E31389" w:rsidP="00E31389">
      <w:pPr>
        <w:spacing w:line="360" w:lineRule="auto"/>
        <w:rPr>
          <w:rFonts w:eastAsia="Calibri" w:cs="Tahoma"/>
          <w:b/>
          <w:bCs/>
          <w:szCs w:val="20"/>
          <w:lang w:val="es-ES" w:eastAsia="en-US"/>
        </w:rPr>
      </w:pPr>
      <w:r w:rsidRPr="00E31389">
        <w:rPr>
          <w:i/>
          <w:szCs w:val="20"/>
          <w:lang w:val="es-ES" w:eastAsia="es-ES"/>
        </w:rPr>
        <w:t xml:space="preserve">Tomás de Armas Gil: </w:t>
      </w:r>
      <w:r w:rsidRPr="00E31389">
        <w:rPr>
          <w:szCs w:val="20"/>
          <w:lang w:val="es-ES" w:eastAsia="es-ES"/>
        </w:rPr>
        <w:t xml:space="preserve">realizó el trabajo asistencial, seleccionó la bibliografía y confeccionó el informe final. </w:t>
      </w:r>
    </w:p>
    <w:p w14:paraId="38312A59" w14:textId="77777777" w:rsidR="00E31389" w:rsidRPr="00E31389" w:rsidRDefault="00E31389" w:rsidP="00E31389">
      <w:pPr>
        <w:spacing w:line="360" w:lineRule="auto"/>
        <w:rPr>
          <w:rFonts w:eastAsia="Calibri" w:cs="Tahoma"/>
          <w:b/>
          <w:bCs/>
          <w:szCs w:val="20"/>
          <w:lang w:val="es-ES" w:eastAsia="en-US"/>
        </w:rPr>
      </w:pPr>
      <w:proofErr w:type="spellStart"/>
      <w:r w:rsidRPr="00E31389">
        <w:rPr>
          <w:i/>
          <w:szCs w:val="20"/>
          <w:lang w:val="es-ES" w:eastAsia="es-ES"/>
        </w:rPr>
        <w:t>Yeneisis</w:t>
      </w:r>
      <w:proofErr w:type="spellEnd"/>
      <w:r w:rsidRPr="00E31389">
        <w:rPr>
          <w:i/>
          <w:szCs w:val="20"/>
          <w:lang w:val="es-ES" w:eastAsia="es-ES"/>
        </w:rPr>
        <w:t xml:space="preserve"> Herrera Oropesa:</w:t>
      </w:r>
      <w:r w:rsidRPr="00E31389">
        <w:rPr>
          <w:szCs w:val="20"/>
          <w:lang w:val="es-ES" w:eastAsia="es-ES"/>
        </w:rPr>
        <w:t xml:space="preserve"> seleccionó la bibliografía. Revisó, corrigió y aprobó el informe final. </w:t>
      </w:r>
    </w:p>
    <w:p w14:paraId="51325CF7" w14:textId="77777777" w:rsidR="00E31389" w:rsidRPr="00E31389" w:rsidRDefault="00E31389" w:rsidP="00E31389">
      <w:pPr>
        <w:spacing w:line="360" w:lineRule="auto"/>
        <w:rPr>
          <w:szCs w:val="20"/>
          <w:lang w:val="es-ES" w:eastAsia="es-ES"/>
        </w:rPr>
      </w:pPr>
      <w:r w:rsidRPr="00E31389">
        <w:rPr>
          <w:i/>
          <w:szCs w:val="20"/>
          <w:lang w:val="pt-BR" w:eastAsia="es-ES"/>
        </w:rPr>
        <w:t>Jorge Barroso Cruz:</w:t>
      </w:r>
      <w:r w:rsidRPr="00E31389">
        <w:rPr>
          <w:szCs w:val="20"/>
          <w:lang w:val="pt-BR" w:eastAsia="es-ES"/>
        </w:rPr>
        <w:t xml:space="preserve"> </w:t>
      </w:r>
      <w:r w:rsidRPr="00E31389">
        <w:rPr>
          <w:szCs w:val="20"/>
          <w:lang w:val="es-ES" w:eastAsia="es-ES"/>
        </w:rPr>
        <w:t>realizó el trabajo asistencial</w:t>
      </w:r>
      <w:r w:rsidRPr="00E31389">
        <w:rPr>
          <w:szCs w:val="20"/>
          <w:lang w:val="pt-BR" w:eastAsia="es-ES"/>
        </w:rPr>
        <w:t xml:space="preserve">, </w:t>
      </w:r>
      <w:r w:rsidRPr="00E31389">
        <w:rPr>
          <w:szCs w:val="20"/>
          <w:lang w:val="es-ES" w:eastAsia="es-ES"/>
        </w:rPr>
        <w:t xml:space="preserve">revisó, corrigió y aprobó el informe final. </w:t>
      </w:r>
    </w:p>
    <w:p w14:paraId="14255842" w14:textId="77777777" w:rsidR="00E31389" w:rsidRPr="00E31389" w:rsidRDefault="00E31389" w:rsidP="00E31389">
      <w:pPr>
        <w:spacing w:line="360" w:lineRule="auto"/>
        <w:rPr>
          <w:szCs w:val="20"/>
          <w:lang w:val="es-ES" w:eastAsia="es-ES"/>
        </w:rPr>
      </w:pPr>
      <w:r w:rsidRPr="00E31389">
        <w:rPr>
          <w:i/>
          <w:szCs w:val="20"/>
          <w:lang w:val="es-ES" w:eastAsia="es-ES"/>
        </w:rPr>
        <w:t>Harold Ricardo Joseph Planas:</w:t>
      </w:r>
      <w:r w:rsidRPr="00E31389">
        <w:rPr>
          <w:szCs w:val="20"/>
          <w:lang w:val="es-ES" w:eastAsia="es-ES"/>
        </w:rPr>
        <w:t xml:space="preserve"> realizó el trabajo asistencial, revisó, corrigió y aprobó el informe final. </w:t>
      </w:r>
    </w:p>
    <w:p w14:paraId="77B79E5C" w14:textId="77777777" w:rsidR="00E31389" w:rsidRPr="00E31389" w:rsidRDefault="00E31389" w:rsidP="00E31389">
      <w:pPr>
        <w:spacing w:line="360" w:lineRule="auto"/>
        <w:rPr>
          <w:szCs w:val="20"/>
          <w:lang w:val="es-ES" w:eastAsia="es-ES"/>
        </w:rPr>
      </w:pPr>
      <w:r w:rsidRPr="00E31389">
        <w:rPr>
          <w:i/>
          <w:szCs w:val="20"/>
          <w:lang w:val="es-ES" w:eastAsia="es-ES"/>
        </w:rPr>
        <w:t>Ailyn Bárbara Rey Torres:</w:t>
      </w:r>
      <w:r w:rsidRPr="00E31389">
        <w:rPr>
          <w:szCs w:val="20"/>
          <w:lang w:val="es-ES" w:eastAsia="es-ES"/>
        </w:rPr>
        <w:t xml:space="preserve"> realizó el trabajo asistencial, participó en el diseño y redacción del trabajo.</w:t>
      </w:r>
    </w:p>
    <w:p w14:paraId="5A432D13" w14:textId="77777777" w:rsidR="00E31389" w:rsidRPr="00E31389" w:rsidRDefault="00E31389" w:rsidP="00E31389">
      <w:pPr>
        <w:spacing w:line="360" w:lineRule="auto"/>
        <w:rPr>
          <w:szCs w:val="20"/>
          <w:lang w:val="es-ES" w:eastAsia="es-ES"/>
        </w:rPr>
      </w:pPr>
      <w:r w:rsidRPr="00E31389">
        <w:rPr>
          <w:i/>
          <w:szCs w:val="20"/>
          <w:lang w:val="es-ES" w:eastAsia="es-ES"/>
        </w:rPr>
        <w:lastRenderedPageBreak/>
        <w:t>Jorge Fuentes Abreu:</w:t>
      </w:r>
      <w:r w:rsidRPr="00E31389">
        <w:rPr>
          <w:szCs w:val="20"/>
          <w:lang w:val="es-ES" w:eastAsia="es-ES"/>
        </w:rPr>
        <w:t xml:space="preserve"> participó en el diseño y redacción del trabajo.</w:t>
      </w:r>
    </w:p>
    <w:p w14:paraId="5E252344" w14:textId="77777777" w:rsidR="00E31389" w:rsidRPr="00E31389" w:rsidRDefault="00E31389" w:rsidP="00E31389">
      <w:pPr>
        <w:spacing w:line="360" w:lineRule="auto"/>
        <w:rPr>
          <w:szCs w:val="20"/>
          <w:lang w:val="es-ES" w:eastAsia="es-ES"/>
        </w:rPr>
      </w:pPr>
      <w:proofErr w:type="spellStart"/>
      <w:r w:rsidRPr="00E31389">
        <w:rPr>
          <w:i/>
          <w:szCs w:val="20"/>
          <w:lang w:val="es-ES" w:eastAsia="es-ES"/>
        </w:rPr>
        <w:t>Zulimay</w:t>
      </w:r>
      <w:proofErr w:type="spellEnd"/>
      <w:r w:rsidRPr="00E31389">
        <w:rPr>
          <w:i/>
          <w:szCs w:val="20"/>
          <w:lang w:val="es-ES" w:eastAsia="es-ES"/>
        </w:rPr>
        <w:t xml:space="preserve"> Torres García</w:t>
      </w:r>
      <w:r w:rsidRPr="00E31389">
        <w:rPr>
          <w:szCs w:val="20"/>
          <w:lang w:val="es-ES" w:eastAsia="es-ES"/>
        </w:rPr>
        <w:t>: realizó el trabajo asistencial, participó en el diseño y redacción del trabajo.</w:t>
      </w:r>
    </w:p>
    <w:p w14:paraId="51C6E116" w14:textId="77777777" w:rsidR="00E31389" w:rsidRPr="00E31389" w:rsidRDefault="00E31389" w:rsidP="00E31389">
      <w:pPr>
        <w:spacing w:line="360" w:lineRule="auto"/>
        <w:rPr>
          <w:szCs w:val="20"/>
          <w:lang w:val="es-ES" w:eastAsia="es-ES"/>
        </w:rPr>
      </w:pPr>
      <w:r w:rsidRPr="00E31389">
        <w:rPr>
          <w:i/>
          <w:szCs w:val="20"/>
          <w:lang w:val="es-ES" w:eastAsia="es-ES"/>
        </w:rPr>
        <w:t xml:space="preserve">Yadira González </w:t>
      </w:r>
      <w:proofErr w:type="spellStart"/>
      <w:r w:rsidRPr="00E31389">
        <w:rPr>
          <w:i/>
          <w:szCs w:val="20"/>
          <w:lang w:val="es-ES" w:eastAsia="es-ES"/>
        </w:rPr>
        <w:t>Viciedo</w:t>
      </w:r>
      <w:proofErr w:type="spellEnd"/>
      <w:r w:rsidRPr="00E31389">
        <w:rPr>
          <w:i/>
          <w:szCs w:val="20"/>
          <w:lang w:val="es-ES" w:eastAsia="es-ES"/>
        </w:rPr>
        <w:t>:</w:t>
      </w:r>
      <w:r w:rsidRPr="00E31389">
        <w:rPr>
          <w:szCs w:val="20"/>
          <w:lang w:val="es-ES" w:eastAsia="es-ES"/>
        </w:rPr>
        <w:t xml:space="preserve"> realizó el trabajo asistencial, participó en el diseño y redacción del trabajo.</w:t>
      </w:r>
    </w:p>
    <w:p w14:paraId="55B5ECB9" w14:textId="77777777" w:rsidR="00E31389" w:rsidRPr="00E31389" w:rsidRDefault="00E31389" w:rsidP="00E31389">
      <w:pPr>
        <w:spacing w:line="360" w:lineRule="auto"/>
        <w:rPr>
          <w:rFonts w:eastAsia="Calibri" w:cs="Tahoma"/>
          <w:bCs/>
          <w:szCs w:val="20"/>
          <w:lang w:val="es-ES" w:eastAsia="en-US"/>
        </w:rPr>
      </w:pPr>
      <w:r w:rsidRPr="00E31389">
        <w:rPr>
          <w:rFonts w:eastAsia="Calibri" w:cs="Tahoma"/>
          <w:bCs/>
          <w:szCs w:val="20"/>
          <w:lang w:val="es-ES" w:eastAsia="en-US"/>
        </w:rPr>
        <w:t>Los autores se hacen individualmente responsables de la totalidad del trabajo presentado a publicar.</w:t>
      </w:r>
    </w:p>
    <w:p w14:paraId="3C2C09DE" w14:textId="77777777" w:rsidR="00675476" w:rsidRPr="00E31389" w:rsidRDefault="00675476" w:rsidP="00391509">
      <w:pPr>
        <w:rPr>
          <w:lang w:val="es-ES"/>
        </w:rPr>
      </w:pPr>
    </w:p>
    <w:sectPr w:rsidR="00675476" w:rsidRPr="00E31389" w:rsidSect="00486BFA">
      <w:headerReference w:type="default" r:id="rId26"/>
      <w:footerReference w:type="even" r:id="rId27"/>
      <w:footerReference w:type="default" r:id="rId28"/>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D1B38" w14:textId="77777777" w:rsidR="00EB69DC" w:rsidRDefault="00EB69DC">
      <w:r>
        <w:separator/>
      </w:r>
    </w:p>
  </w:endnote>
  <w:endnote w:type="continuationSeparator" w:id="0">
    <w:p w14:paraId="3C1229DD" w14:textId="77777777" w:rsidR="00EB69DC" w:rsidRDefault="00EB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4C7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A48D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2838" w14:textId="3FD09D90" w:rsidR="000F3690" w:rsidRPr="00AE044C" w:rsidRDefault="00E31389"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BC6EDB6" wp14:editId="76268BDD">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CEC5E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501DC4FC" w14:textId="77777777" w:rsidR="00675476" w:rsidRPr="00AE044C" w:rsidRDefault="00EB69DC" w:rsidP="00391509">
    <w:pPr>
      <w:pStyle w:val="Piedepgina"/>
      <w:ind w:right="360"/>
      <w:rPr>
        <w:sz w:val="22"/>
        <w:szCs w:val="22"/>
      </w:rPr>
    </w:pPr>
    <w:hyperlink r:id="rId1" w:history="1">
      <w:r w:rsidR="00391509" w:rsidRPr="00AE044C">
        <w:rPr>
          <w:rStyle w:val="Hipervnculo"/>
          <w:sz w:val="22"/>
          <w:szCs w:val="22"/>
        </w:rPr>
        <w:t>http://scielo.sld.cu</w:t>
      </w:r>
    </w:hyperlink>
  </w:p>
  <w:p w14:paraId="211ACCD1" w14:textId="77777777" w:rsidR="00391509" w:rsidRPr="00AE044C" w:rsidRDefault="00EB69D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C303C87" w14:textId="2A7784B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E31389" w:rsidRPr="00E31389">
      <w:rPr>
        <w:rFonts w:ascii="Verdana" w:hAnsi="Verdana"/>
        <w:noProof/>
        <w:sz w:val="18"/>
        <w:szCs w:val="18"/>
        <w:lang w:val="en-US" w:eastAsia="en-US"/>
      </w:rPr>
      <w:drawing>
        <wp:inline distT="0" distB="0" distL="0" distR="0" wp14:anchorId="699A137D" wp14:editId="1E688308">
          <wp:extent cx="638175" cy="152400"/>
          <wp:effectExtent l="0" t="0" r="0" b="0"/>
          <wp:docPr id="2"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B000" w14:textId="77777777" w:rsidR="00EB69DC" w:rsidRDefault="00EB69DC">
      <w:r>
        <w:separator/>
      </w:r>
    </w:p>
  </w:footnote>
  <w:footnote w:type="continuationSeparator" w:id="0">
    <w:p w14:paraId="7EA96C1D" w14:textId="77777777" w:rsidR="00EB69DC" w:rsidRDefault="00EB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12CA" w14:textId="131CE31E" w:rsidR="00CC376A" w:rsidRPr="00AE044C" w:rsidRDefault="00E31389"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0304C405" wp14:editId="0F783F31">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0210859</w:t>
    </w:r>
  </w:p>
  <w:p w14:paraId="3098A5ED" w14:textId="3581D0A2" w:rsidR="00A477DE" w:rsidRDefault="00E31389">
    <w:r>
      <w:rPr>
        <w:noProof/>
      </w:rPr>
      <mc:AlternateContent>
        <mc:Choice Requires="wps">
          <w:drawing>
            <wp:anchor distT="0" distB="0" distL="114300" distR="114300" simplePos="0" relativeHeight="251657216" behindDoc="0" locked="0" layoutInCell="1" allowOverlap="1" wp14:anchorId="68E09BD3" wp14:editId="55C3041E">
              <wp:simplePos x="0" y="0"/>
              <wp:positionH relativeFrom="column">
                <wp:posOffset>3810</wp:posOffset>
              </wp:positionH>
              <wp:positionV relativeFrom="paragraph">
                <wp:posOffset>44450</wp:posOffset>
              </wp:positionV>
              <wp:extent cx="6276975" cy="28575"/>
              <wp:effectExtent l="19050" t="19050"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35E89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Q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acFuXA0op22im2&#10;yMoMPtaUsHH7kGcTZ/fidyh+ROZw04PrVGH4evFUNssV1ZuS7ERP+IfhC0rKgWPCItO5DTZDkgDs&#10;XLZxuW9DnRMTdLmcPyw/Piw4ExSbPy7IzB2gvhX7ENNnhZZlo+GGeBdwOO1iuqbeUnIvh1ttDN1D&#10;bRwbbpjZj2i0zNHihO6wMYGdIL8Z+rbbsfGbtIBHJwtar0B+Gu0E2lxtImrcqEgW4SrnAeVlHzK5&#10;LA4ttUw0PsD8an73S9av32T9Ew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ADBxjQwQEAAG4DAAAOAAAAAAAAAAAAAAAAAC4C&#10;AABkcnMvZTJvRG9jLnhtbFBLAQItABQABgAIAAAAIQBLRAhO3AAAAAUBAAAPAAAAAAAAAAAAAAAA&#10;ABsEAABkcnMvZG93bnJldi54bWxQSwUGAAAAAAQABADzAAAAJAU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89"/>
    <w:rsid w:val="000F28E3"/>
    <w:rsid w:val="000F3690"/>
    <w:rsid w:val="000F38A5"/>
    <w:rsid w:val="001221D1"/>
    <w:rsid w:val="00180CE9"/>
    <w:rsid w:val="001C002F"/>
    <w:rsid w:val="00230DD5"/>
    <w:rsid w:val="002F1AD0"/>
    <w:rsid w:val="00380D64"/>
    <w:rsid w:val="00391509"/>
    <w:rsid w:val="003E03D5"/>
    <w:rsid w:val="00400A6A"/>
    <w:rsid w:val="00486BFA"/>
    <w:rsid w:val="00493701"/>
    <w:rsid w:val="004A0AE4"/>
    <w:rsid w:val="004C6071"/>
    <w:rsid w:val="004E2065"/>
    <w:rsid w:val="005508A2"/>
    <w:rsid w:val="00566F71"/>
    <w:rsid w:val="005918BD"/>
    <w:rsid w:val="00626EFA"/>
    <w:rsid w:val="00640ABC"/>
    <w:rsid w:val="00675476"/>
    <w:rsid w:val="007C430F"/>
    <w:rsid w:val="007D614D"/>
    <w:rsid w:val="00960D6A"/>
    <w:rsid w:val="009A0560"/>
    <w:rsid w:val="009B0917"/>
    <w:rsid w:val="00A23C0C"/>
    <w:rsid w:val="00A46501"/>
    <w:rsid w:val="00A477DE"/>
    <w:rsid w:val="00A71E65"/>
    <w:rsid w:val="00A94444"/>
    <w:rsid w:val="00AE044C"/>
    <w:rsid w:val="00B31971"/>
    <w:rsid w:val="00B32AD5"/>
    <w:rsid w:val="00B4380A"/>
    <w:rsid w:val="00B66ECB"/>
    <w:rsid w:val="00C7523A"/>
    <w:rsid w:val="00CC1B6E"/>
    <w:rsid w:val="00CC376A"/>
    <w:rsid w:val="00CC48A1"/>
    <w:rsid w:val="00CF50E0"/>
    <w:rsid w:val="00D8107F"/>
    <w:rsid w:val="00D85951"/>
    <w:rsid w:val="00E31389"/>
    <w:rsid w:val="00E62606"/>
    <w:rsid w:val="00EB1603"/>
    <w:rsid w:val="00EB69DC"/>
    <w:rsid w:val="00F50FCC"/>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C54E9"/>
  <w15:docId w15:val="{F3A83C5A-E924-4DA3-B7C6-01BB85A2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415-6187" TargetMode="External"/><Relationship Id="rId13" Type="http://schemas.openxmlformats.org/officeDocument/2006/relationships/hyperlink" Target="https://orcid.org/0000-0002-5033-8195"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ncbi.nlm.nih.gov/pubmed/32219428" TargetMode="External"/><Relationship Id="rId7" Type="http://schemas.openxmlformats.org/officeDocument/2006/relationships/hyperlink" Target="https://orcid.org/0000-0002-9185-1112" TargetMode="External"/><Relationship Id="rId12" Type="http://schemas.openxmlformats.org/officeDocument/2006/relationships/hyperlink" Target="https://orcid.org/0000-0003-3622-5706" TargetMode="External"/><Relationship Id="rId17" Type="http://schemas.openxmlformats.org/officeDocument/2006/relationships/image" Target="media/image3.jpeg"/><Relationship Id="rId25" Type="http://schemas.openxmlformats.org/officeDocument/2006/relationships/hyperlink" Target="http://www.revhabanera.sld.cu/index.php/rhab/article/view/3254/2505"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hyperlink" Target="http://www.sciencedirect.com/science/article/pii/S008525382030255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cid.org/0000-0002-6149-6965" TargetMode="External"/><Relationship Id="rId11" Type="http://schemas.openxmlformats.org/officeDocument/2006/relationships/hyperlink" Target="https://orcid.org/0000-0003-2603-6442" TargetMode="External"/><Relationship Id="rId24" Type="http://schemas.openxmlformats.org/officeDocument/2006/relationships/hyperlink" Target="https://www.medrxiv.org/content/10.1101/2020.02.24.20027201v2.full.pdf" TargetMode="External"/><Relationship Id="rId5" Type="http://schemas.openxmlformats.org/officeDocument/2006/relationships/endnotes" Target="endnotes.xml"/><Relationship Id="rId15" Type="http://schemas.openxmlformats.org/officeDocument/2006/relationships/image" Target="media/image1.gif"/><Relationship Id="rId23" Type="http://schemas.openxmlformats.org/officeDocument/2006/relationships/hyperlink" Target="https://www.nefrologiaaldia.org/es-articulo-coronavirus-rinon-actualizacion-completa-09-305" TargetMode="External"/><Relationship Id="rId28" Type="http://schemas.openxmlformats.org/officeDocument/2006/relationships/footer" Target="footer2.xml"/><Relationship Id="rId10" Type="http://schemas.openxmlformats.org/officeDocument/2006/relationships/hyperlink" Target="https://orcid.org/0000-0001-9562-5713" TargetMode="External"/><Relationship Id="rId19"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hyperlink" Target="https://orcid.org/0000-0002-8835-3657" TargetMode="External"/><Relationship Id="rId14" Type="http://schemas.openxmlformats.org/officeDocument/2006/relationships/hyperlink" Target="mailto:tomasitocuba83@gmail.c" TargetMode="External"/><Relationship Id="rId22" Type="http://schemas.openxmlformats.org/officeDocument/2006/relationships/hyperlink" Target="https://journals.lww.com/md-journal/fulltext/2020/01170/effect_of_isolation_practice_on_the_transmission.43.aspx"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15</TotalTime>
  <Pages>13</Pages>
  <Words>3329</Words>
  <Characters>18310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21596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15</cp:revision>
  <cp:lastPrinted>2021-02-13T16:48:00Z</cp:lastPrinted>
  <dcterms:created xsi:type="dcterms:W3CDTF">2021-02-08T20:29:00Z</dcterms:created>
  <dcterms:modified xsi:type="dcterms:W3CDTF">2021-02-13T16:48:00Z</dcterms:modified>
</cp:coreProperties>
</file>