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5FF0" w14:textId="77777777" w:rsidR="007E4EBD" w:rsidRPr="002C26FE" w:rsidRDefault="007E4EBD" w:rsidP="007E4EBD">
      <w:pPr>
        <w:spacing w:after="0" w:line="360" w:lineRule="auto"/>
        <w:jc w:val="right"/>
        <w:rPr>
          <w:rFonts w:ascii="Times New Roman" w:hAnsi="Times New Roman" w:cs="Times New Roman"/>
          <w:sz w:val="20"/>
          <w:szCs w:val="20"/>
        </w:rPr>
      </w:pPr>
      <w:r w:rsidRPr="002C26FE">
        <w:rPr>
          <w:rFonts w:ascii="Times New Roman" w:hAnsi="Times New Roman" w:cs="Times New Roman"/>
          <w:sz w:val="20"/>
          <w:szCs w:val="20"/>
        </w:rPr>
        <w:t>Presentación de caso</w:t>
      </w:r>
    </w:p>
    <w:p w14:paraId="42831DA1" w14:textId="77777777" w:rsidR="007E4EBD" w:rsidRDefault="007E4EBD" w:rsidP="007E4EBD">
      <w:pPr>
        <w:spacing w:after="0" w:line="360" w:lineRule="auto"/>
        <w:jc w:val="center"/>
        <w:rPr>
          <w:rFonts w:ascii="Times New Roman" w:hAnsi="Times New Roman" w:cs="Times New Roman"/>
          <w:b/>
          <w:sz w:val="24"/>
          <w:szCs w:val="24"/>
        </w:rPr>
      </w:pPr>
    </w:p>
    <w:p w14:paraId="3B14801B" w14:textId="77777777" w:rsidR="007E4EBD" w:rsidRPr="002C26FE" w:rsidRDefault="007E4EBD" w:rsidP="007E4EBD">
      <w:pPr>
        <w:spacing w:after="0" w:line="360" w:lineRule="auto"/>
        <w:jc w:val="center"/>
        <w:rPr>
          <w:rFonts w:ascii="Times New Roman" w:hAnsi="Times New Roman" w:cs="Times New Roman"/>
          <w:b/>
          <w:sz w:val="28"/>
          <w:szCs w:val="28"/>
        </w:rPr>
      </w:pPr>
      <w:r w:rsidRPr="002C26FE">
        <w:rPr>
          <w:rFonts w:ascii="Times New Roman" w:hAnsi="Times New Roman" w:cs="Times New Roman"/>
          <w:b/>
          <w:sz w:val="28"/>
          <w:szCs w:val="28"/>
        </w:rPr>
        <w:t>Síndrome de Felty</w:t>
      </w:r>
    </w:p>
    <w:p w14:paraId="1C837263" w14:textId="77777777" w:rsidR="007E4EBD" w:rsidRPr="00CE5B08" w:rsidRDefault="007E4EBD" w:rsidP="007E4EBD">
      <w:pPr>
        <w:spacing w:after="0" w:line="360" w:lineRule="auto"/>
        <w:jc w:val="center"/>
        <w:rPr>
          <w:rFonts w:ascii="Times New Roman" w:hAnsi="Times New Roman" w:cs="Times New Roman"/>
          <w:sz w:val="24"/>
          <w:szCs w:val="24"/>
        </w:rPr>
      </w:pPr>
      <w:r w:rsidRPr="00CE5B08">
        <w:rPr>
          <w:rFonts w:ascii="Times New Roman" w:hAnsi="Times New Roman" w:cs="Times New Roman"/>
          <w:sz w:val="28"/>
          <w:szCs w:val="28"/>
        </w:rPr>
        <w:t>Felty’s syndrome</w:t>
      </w:r>
    </w:p>
    <w:p w14:paraId="79C80CFD" w14:textId="77777777" w:rsidR="007E4EBD" w:rsidRPr="00CE5B08" w:rsidRDefault="007E4EBD" w:rsidP="007E4EBD">
      <w:pPr>
        <w:spacing w:after="0" w:line="360" w:lineRule="auto"/>
        <w:rPr>
          <w:rFonts w:ascii="Times New Roman" w:hAnsi="Times New Roman" w:cs="Times New Roman"/>
          <w:sz w:val="24"/>
          <w:szCs w:val="24"/>
        </w:rPr>
      </w:pPr>
    </w:p>
    <w:p w14:paraId="0AA73BA0" w14:textId="77777777" w:rsidR="007E4EBD" w:rsidRPr="002C26FE" w:rsidRDefault="007E4EBD" w:rsidP="007E4EBD">
      <w:pPr>
        <w:spacing w:after="0" w:line="360" w:lineRule="auto"/>
        <w:rPr>
          <w:rStyle w:val="Hipervnculo"/>
          <w:rFonts w:ascii="Times New Roman" w:hAnsi="Times New Roman" w:cs="Times New Roman"/>
          <w:sz w:val="24"/>
          <w:szCs w:val="24"/>
          <w:shd w:val="clear" w:color="auto" w:fill="FFFFFF"/>
        </w:rPr>
      </w:pPr>
      <w:r w:rsidRPr="002C26FE">
        <w:rPr>
          <w:rFonts w:ascii="Times New Roman" w:hAnsi="Times New Roman" w:cs="Times New Roman"/>
          <w:sz w:val="24"/>
          <w:szCs w:val="24"/>
        </w:rPr>
        <w:t>Luis Fong Pantoja</w:t>
      </w:r>
      <w:r w:rsidRPr="002C26FE">
        <w:rPr>
          <w:rFonts w:ascii="Times New Roman" w:hAnsi="Times New Roman" w:cs="Times New Roman"/>
          <w:sz w:val="24"/>
          <w:szCs w:val="24"/>
          <w:vertAlign w:val="superscript"/>
        </w:rPr>
        <w:t>1</w:t>
      </w:r>
      <w:r w:rsidRPr="002C26FE">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D949A3">
          <w:rPr>
            <w:rStyle w:val="Hipervnculo"/>
            <w:rFonts w:ascii="Times New Roman" w:hAnsi="Times New Roman" w:cs="Times New Roman"/>
            <w:sz w:val="24"/>
            <w:szCs w:val="24"/>
            <w:shd w:val="clear" w:color="auto" w:fill="FFFFFF"/>
          </w:rPr>
          <w:t>https://orcid.org/0000-0002-7184-621X</w:t>
        </w:r>
      </w:hyperlink>
    </w:p>
    <w:p w14:paraId="4CA72A63" w14:textId="77777777" w:rsidR="007E4EBD" w:rsidRPr="002C26FE" w:rsidRDefault="007E4EBD" w:rsidP="007E4EBD">
      <w:pPr>
        <w:spacing w:after="0" w:line="360" w:lineRule="auto"/>
        <w:rPr>
          <w:rStyle w:val="Hipervnculo"/>
          <w:rFonts w:ascii="Times New Roman" w:hAnsi="Times New Roman" w:cs="Times New Roman"/>
          <w:sz w:val="24"/>
          <w:szCs w:val="24"/>
          <w:shd w:val="clear" w:color="auto" w:fill="FFFFFF"/>
        </w:rPr>
      </w:pPr>
      <w:r w:rsidRPr="005661BD">
        <w:rPr>
          <w:rStyle w:val="Hipervnculo"/>
          <w:rFonts w:ascii="Times New Roman" w:hAnsi="Times New Roman" w:cs="Times New Roman"/>
          <w:color w:val="auto"/>
          <w:sz w:val="24"/>
          <w:szCs w:val="24"/>
          <w:u w:val="none"/>
          <w:shd w:val="clear" w:color="auto" w:fill="FFFFFF"/>
        </w:rPr>
        <w:t>Leordanys Domínguez Sánchez</w:t>
      </w:r>
      <w:r w:rsidRPr="005661BD">
        <w:rPr>
          <w:rStyle w:val="Hipervnculo"/>
          <w:rFonts w:ascii="Times New Roman" w:hAnsi="Times New Roman" w:cs="Times New Roman"/>
          <w:color w:val="auto"/>
          <w:sz w:val="24"/>
          <w:szCs w:val="24"/>
          <w:u w:val="none"/>
          <w:shd w:val="clear" w:color="auto" w:fill="FFFFFF"/>
          <w:vertAlign w:val="superscript"/>
        </w:rPr>
        <w:t>1</w:t>
      </w:r>
      <w:r w:rsidRPr="002C26FE">
        <w:rPr>
          <w:rStyle w:val="Hipervnculo"/>
          <w:rFonts w:ascii="Times New Roman" w:hAnsi="Times New Roman" w:cs="Times New Roman"/>
          <w:sz w:val="24"/>
          <w:szCs w:val="24"/>
          <w:shd w:val="clear" w:color="auto" w:fill="FFFFFF"/>
        </w:rPr>
        <w:t xml:space="preserve"> </w:t>
      </w:r>
      <w:hyperlink r:id="rId8" w:history="1">
        <w:r w:rsidRPr="002C26FE">
          <w:rPr>
            <w:rStyle w:val="Hipervnculo"/>
            <w:rFonts w:ascii="Times New Roman" w:hAnsi="Times New Roman" w:cs="Times New Roman"/>
            <w:sz w:val="24"/>
            <w:szCs w:val="24"/>
            <w:shd w:val="clear" w:color="auto" w:fill="FFFFFF"/>
          </w:rPr>
          <w:t>https://orcid.org/0000-0003-0317-7445</w:t>
        </w:r>
      </w:hyperlink>
      <w:r w:rsidRPr="002C26FE">
        <w:rPr>
          <w:rStyle w:val="Hipervnculo"/>
          <w:rFonts w:ascii="Times New Roman" w:hAnsi="Times New Roman" w:cs="Times New Roman"/>
          <w:sz w:val="24"/>
          <w:szCs w:val="24"/>
          <w:shd w:val="clear" w:color="auto" w:fill="FFFFFF"/>
        </w:rPr>
        <w:t xml:space="preserve"> </w:t>
      </w:r>
    </w:p>
    <w:p w14:paraId="4411F9D2" w14:textId="77777777" w:rsidR="007E4EBD" w:rsidRPr="002C26FE" w:rsidRDefault="007E4EBD" w:rsidP="007E4EBD">
      <w:pPr>
        <w:spacing w:after="0" w:line="360" w:lineRule="auto"/>
        <w:rPr>
          <w:rFonts w:ascii="Times New Roman" w:hAnsi="Times New Roman" w:cs="Times New Roman"/>
          <w:sz w:val="24"/>
          <w:szCs w:val="24"/>
        </w:rPr>
      </w:pPr>
      <w:r w:rsidRPr="005661BD">
        <w:rPr>
          <w:rStyle w:val="Hipervnculo"/>
          <w:rFonts w:ascii="Times New Roman" w:hAnsi="Times New Roman" w:cs="Times New Roman"/>
          <w:color w:val="auto"/>
          <w:sz w:val="24"/>
          <w:szCs w:val="24"/>
          <w:u w:val="none"/>
          <w:shd w:val="clear" w:color="auto" w:fill="FFFFFF"/>
        </w:rPr>
        <w:t>José Alejandro Lora Pantoja</w:t>
      </w:r>
      <w:r w:rsidRPr="005661BD">
        <w:rPr>
          <w:rStyle w:val="Hipervnculo"/>
          <w:rFonts w:ascii="Times New Roman" w:hAnsi="Times New Roman" w:cs="Times New Roman"/>
          <w:color w:val="auto"/>
          <w:sz w:val="24"/>
          <w:szCs w:val="24"/>
          <w:u w:val="none"/>
          <w:shd w:val="clear" w:color="auto" w:fill="FFFFFF"/>
          <w:vertAlign w:val="superscript"/>
        </w:rPr>
        <w:t>1</w:t>
      </w:r>
      <w:r w:rsidRPr="005661BD">
        <w:rPr>
          <w:rFonts w:ascii="Times New Roman" w:hAnsi="Times New Roman" w:cs="Times New Roman"/>
          <w:sz w:val="24"/>
          <w:szCs w:val="24"/>
        </w:rPr>
        <w:t xml:space="preserve"> </w:t>
      </w:r>
      <w:hyperlink r:id="rId9" w:tgtFrame="_blank" w:history="1">
        <w:r w:rsidRPr="002C26FE">
          <w:rPr>
            <w:rStyle w:val="Hipervnculo"/>
            <w:rFonts w:ascii="Times New Roman" w:hAnsi="Times New Roman" w:cs="Times New Roman"/>
            <w:color w:val="1155CC"/>
            <w:sz w:val="24"/>
            <w:szCs w:val="24"/>
            <w:shd w:val="clear" w:color="auto" w:fill="FFFFFF"/>
          </w:rPr>
          <w:t>https://orcid.org/0000-0003-3289-9463</w:t>
        </w:r>
      </w:hyperlink>
      <w:r w:rsidRPr="002C26FE">
        <w:rPr>
          <w:rStyle w:val="Hipervnculo"/>
          <w:rFonts w:ascii="Times New Roman" w:hAnsi="Times New Roman" w:cs="Times New Roman"/>
          <w:color w:val="1155CC"/>
          <w:sz w:val="24"/>
          <w:szCs w:val="24"/>
          <w:shd w:val="clear" w:color="auto" w:fill="FFFFFF"/>
        </w:rPr>
        <w:t xml:space="preserve">  </w:t>
      </w:r>
    </w:p>
    <w:p w14:paraId="00A9CFAD" w14:textId="77777777" w:rsidR="007E4EBD" w:rsidRDefault="007E4EBD" w:rsidP="007E4EBD">
      <w:pPr>
        <w:spacing w:after="0" w:line="360" w:lineRule="auto"/>
        <w:rPr>
          <w:rFonts w:ascii="Times New Roman" w:hAnsi="Times New Roman" w:cs="Times New Roman"/>
          <w:sz w:val="24"/>
          <w:szCs w:val="24"/>
          <w:vertAlign w:val="superscript"/>
        </w:rPr>
      </w:pPr>
    </w:p>
    <w:p w14:paraId="0D90BFEC"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vertAlign w:val="superscript"/>
        </w:rPr>
        <w:t>1</w:t>
      </w:r>
      <w:r w:rsidRPr="002C26FE">
        <w:rPr>
          <w:rFonts w:ascii="Times New Roman" w:hAnsi="Times New Roman" w:cs="Times New Roman"/>
          <w:sz w:val="24"/>
          <w:szCs w:val="24"/>
        </w:rPr>
        <w:t>Hospital General Docente “Orlando Pantoja Tamayo”. Contramaestre, Santiago de Cuba, Cuba.</w:t>
      </w:r>
    </w:p>
    <w:p w14:paraId="051F6A53" w14:textId="77777777" w:rsidR="007E4EBD" w:rsidRDefault="007E4EBD" w:rsidP="007E4EBD">
      <w:pPr>
        <w:spacing w:after="0" w:line="360" w:lineRule="auto"/>
        <w:rPr>
          <w:rFonts w:ascii="Times New Roman" w:hAnsi="Times New Roman" w:cs="Times New Roman"/>
          <w:sz w:val="24"/>
          <w:szCs w:val="24"/>
        </w:rPr>
      </w:pPr>
    </w:p>
    <w:p w14:paraId="213EA9DD"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*Autor p</w:t>
      </w:r>
      <w:r>
        <w:rPr>
          <w:rFonts w:ascii="Times New Roman" w:hAnsi="Times New Roman" w:cs="Times New Roman"/>
          <w:sz w:val="24"/>
          <w:szCs w:val="24"/>
        </w:rPr>
        <w:t>ara la</w:t>
      </w:r>
      <w:r w:rsidRPr="002C26FE">
        <w:rPr>
          <w:rFonts w:ascii="Times New Roman" w:hAnsi="Times New Roman" w:cs="Times New Roman"/>
          <w:sz w:val="24"/>
          <w:szCs w:val="24"/>
        </w:rPr>
        <w:t xml:space="preserve"> correspondencia. Correo electrónico: </w:t>
      </w:r>
      <w:hyperlink r:id="rId10" w:history="1">
        <w:r w:rsidRPr="002C26FE">
          <w:rPr>
            <w:rStyle w:val="Hipervnculo"/>
            <w:rFonts w:ascii="Times New Roman" w:hAnsi="Times New Roman" w:cs="Times New Roman"/>
            <w:sz w:val="24"/>
            <w:szCs w:val="24"/>
          </w:rPr>
          <w:t>luisfong87@nauta.cu</w:t>
        </w:r>
      </w:hyperlink>
    </w:p>
    <w:p w14:paraId="7C074BDA" w14:textId="77777777" w:rsidR="007E4EBD" w:rsidRPr="002C26FE" w:rsidRDefault="007E4EBD" w:rsidP="007E4EBD">
      <w:pPr>
        <w:spacing w:after="0" w:line="360" w:lineRule="auto"/>
        <w:rPr>
          <w:rFonts w:ascii="Times New Roman" w:hAnsi="Times New Roman" w:cs="Times New Roman"/>
          <w:b/>
          <w:sz w:val="24"/>
          <w:szCs w:val="24"/>
        </w:rPr>
      </w:pPr>
    </w:p>
    <w:p w14:paraId="3EF5D41B" w14:textId="77777777" w:rsidR="007E4EBD" w:rsidRPr="002C26FE" w:rsidRDefault="007E4EBD" w:rsidP="007E4EBD">
      <w:pPr>
        <w:spacing w:after="0" w:line="360" w:lineRule="auto"/>
        <w:rPr>
          <w:rFonts w:ascii="Times New Roman" w:hAnsi="Times New Roman" w:cs="Times New Roman"/>
          <w:b/>
          <w:sz w:val="24"/>
          <w:szCs w:val="24"/>
        </w:rPr>
      </w:pPr>
      <w:r w:rsidRPr="002C26FE">
        <w:rPr>
          <w:rFonts w:ascii="Times New Roman" w:hAnsi="Times New Roman" w:cs="Times New Roman"/>
          <w:b/>
          <w:sz w:val="24"/>
          <w:szCs w:val="24"/>
        </w:rPr>
        <w:t>RESUMEN</w:t>
      </w:r>
    </w:p>
    <w:p w14:paraId="77D6F33C" w14:textId="51249354" w:rsidR="007E4EBD" w:rsidRPr="002C26FE" w:rsidRDefault="007E4EBD" w:rsidP="007E4EBD">
      <w:pPr>
        <w:spacing w:after="0" w:line="360" w:lineRule="auto"/>
        <w:jc w:val="both"/>
        <w:rPr>
          <w:rFonts w:ascii="Times New Roman" w:hAnsi="Times New Roman" w:cs="Times New Roman"/>
          <w:b/>
          <w:sz w:val="24"/>
          <w:szCs w:val="24"/>
        </w:rPr>
      </w:pPr>
      <w:r w:rsidRPr="002C26FE">
        <w:rPr>
          <w:rFonts w:ascii="Times New Roman" w:hAnsi="Times New Roman" w:cs="Times New Roman"/>
          <w:b/>
          <w:sz w:val="24"/>
          <w:szCs w:val="24"/>
        </w:rPr>
        <w:t xml:space="preserve">Introducción: </w:t>
      </w:r>
      <w:r w:rsidRPr="002C26FE">
        <w:rPr>
          <w:rFonts w:ascii="Times New Roman" w:hAnsi="Times New Roman" w:cs="Times New Roman"/>
          <w:sz w:val="24"/>
          <w:szCs w:val="24"/>
        </w:rPr>
        <w:t>El síndrome de Felty es una rara complicación extraarticular de la artritis reumatoide, descrito por primera vez en 1924. Felty describió 5 pacientes que se caracterizaban por la presencia de una tríada clínica de artritis reumatoide</w:t>
      </w:r>
      <w:r>
        <w:rPr>
          <w:rFonts w:ascii="Times New Roman" w:hAnsi="Times New Roman" w:cs="Times New Roman"/>
          <w:sz w:val="24"/>
          <w:szCs w:val="24"/>
        </w:rPr>
        <w:t>,</w:t>
      </w:r>
      <w:r w:rsidRPr="002C26FE">
        <w:rPr>
          <w:rFonts w:ascii="Times New Roman" w:hAnsi="Times New Roman" w:cs="Times New Roman"/>
          <w:sz w:val="24"/>
          <w:szCs w:val="24"/>
        </w:rPr>
        <w:t xml:space="preserve"> esplenomegalia</w:t>
      </w:r>
      <w:r>
        <w:rPr>
          <w:rFonts w:ascii="Times New Roman" w:hAnsi="Times New Roman" w:cs="Times New Roman"/>
          <w:sz w:val="24"/>
          <w:szCs w:val="24"/>
        </w:rPr>
        <w:t xml:space="preserve"> </w:t>
      </w:r>
      <w:r w:rsidR="00FD2D0D">
        <w:rPr>
          <w:rFonts w:ascii="Times New Roman" w:hAnsi="Times New Roman" w:cs="Times New Roman"/>
          <w:sz w:val="24"/>
          <w:szCs w:val="24"/>
        </w:rPr>
        <w:t xml:space="preserve">y </w:t>
      </w:r>
      <w:r w:rsidR="00FD2D0D" w:rsidRPr="002C26FE">
        <w:rPr>
          <w:rFonts w:ascii="Times New Roman" w:hAnsi="Times New Roman" w:cs="Times New Roman"/>
          <w:sz w:val="24"/>
          <w:szCs w:val="24"/>
        </w:rPr>
        <w:t>neutropenia</w:t>
      </w:r>
      <w:r>
        <w:rPr>
          <w:rFonts w:ascii="Times New Roman" w:hAnsi="Times New Roman" w:cs="Times New Roman"/>
          <w:sz w:val="24"/>
          <w:szCs w:val="24"/>
        </w:rPr>
        <w:t>,</w:t>
      </w:r>
      <w:r w:rsidRPr="002C26FE">
        <w:rPr>
          <w:rFonts w:ascii="Times New Roman" w:hAnsi="Times New Roman" w:cs="Times New Roman"/>
          <w:sz w:val="24"/>
          <w:szCs w:val="24"/>
        </w:rPr>
        <w:t xml:space="preserve"> que aparece fundamentalmente en los pacientes con largos años de evolución de su enfermedad. Es una entidad clínica con alto grado de mortalidad, dado a que es poco diagnosticada y por tanto</w:t>
      </w:r>
      <w:r>
        <w:rPr>
          <w:rFonts w:ascii="Times New Roman" w:hAnsi="Times New Roman" w:cs="Times New Roman"/>
          <w:sz w:val="24"/>
          <w:szCs w:val="24"/>
        </w:rPr>
        <w:t>,</w:t>
      </w:r>
      <w:r w:rsidRPr="002C26FE">
        <w:rPr>
          <w:rFonts w:ascii="Times New Roman" w:hAnsi="Times New Roman" w:cs="Times New Roman"/>
          <w:sz w:val="24"/>
          <w:szCs w:val="24"/>
        </w:rPr>
        <w:t xml:space="preserve"> no tratada.</w:t>
      </w:r>
    </w:p>
    <w:p w14:paraId="0C3E466D"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b/>
          <w:sz w:val="24"/>
          <w:szCs w:val="24"/>
        </w:rPr>
        <w:t>Objetivo:</w:t>
      </w:r>
      <w:r w:rsidRPr="002C26FE">
        <w:rPr>
          <w:rFonts w:ascii="Times New Roman" w:hAnsi="Times New Roman" w:cs="Times New Roman"/>
          <w:sz w:val="24"/>
          <w:szCs w:val="24"/>
        </w:rPr>
        <w:t xml:space="preserve"> Presentar un paciente con síndrome de Felty, sus características clínicas y el procedimiento terapéutico empleado.</w:t>
      </w:r>
    </w:p>
    <w:p w14:paraId="4C20805D"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b/>
          <w:sz w:val="24"/>
          <w:szCs w:val="24"/>
        </w:rPr>
        <w:t xml:space="preserve">Caso clínico: </w:t>
      </w:r>
      <w:r w:rsidRPr="002C26FE">
        <w:rPr>
          <w:rFonts w:ascii="Times New Roman" w:hAnsi="Times New Roman" w:cs="Times New Roman"/>
          <w:sz w:val="24"/>
          <w:szCs w:val="24"/>
        </w:rPr>
        <w:t>Paciente femenina de 64 años de edad, con antecedentes de artritis reumatoide e hipotiroidismo; ambas enferm</w:t>
      </w:r>
      <w:r>
        <w:rPr>
          <w:rFonts w:ascii="Times New Roman" w:hAnsi="Times New Roman" w:cs="Times New Roman"/>
          <w:sz w:val="24"/>
          <w:szCs w:val="24"/>
        </w:rPr>
        <w:t>edades sin tratamiento regular. Asistió</w:t>
      </w:r>
      <w:r w:rsidRPr="002C26FE">
        <w:rPr>
          <w:rFonts w:ascii="Times New Roman" w:hAnsi="Times New Roman" w:cs="Times New Roman"/>
          <w:sz w:val="24"/>
          <w:szCs w:val="24"/>
        </w:rPr>
        <w:t xml:space="preserve"> al servicio de urgencias con fiebre y presencia de lesiones ulcerativas en miembro inferior izquierdo</w:t>
      </w:r>
      <w:r>
        <w:rPr>
          <w:rFonts w:ascii="Times New Roman" w:hAnsi="Times New Roman" w:cs="Times New Roman"/>
          <w:sz w:val="24"/>
          <w:szCs w:val="24"/>
        </w:rPr>
        <w:t>,</w:t>
      </w:r>
      <w:r w:rsidRPr="002C26FE">
        <w:rPr>
          <w:rFonts w:ascii="Times New Roman" w:hAnsi="Times New Roman" w:cs="Times New Roman"/>
          <w:sz w:val="24"/>
          <w:szCs w:val="24"/>
        </w:rPr>
        <w:t xml:space="preserve"> con fondo necrótico.</w:t>
      </w:r>
      <w:r>
        <w:rPr>
          <w:rFonts w:ascii="Times New Roman" w:hAnsi="Times New Roman" w:cs="Times New Roman"/>
          <w:sz w:val="24"/>
          <w:szCs w:val="24"/>
        </w:rPr>
        <w:t xml:space="preserve"> Debido a</w:t>
      </w:r>
      <w:r w:rsidRPr="002C26FE">
        <w:rPr>
          <w:rFonts w:ascii="Times New Roman" w:hAnsi="Times New Roman" w:cs="Times New Roman"/>
          <w:sz w:val="24"/>
          <w:szCs w:val="24"/>
        </w:rPr>
        <w:t xml:space="preserve"> leucopenia acompañada de esplenomegalia se le diagnosticó neutropenia febril (sepsis)</w:t>
      </w:r>
      <w:r>
        <w:rPr>
          <w:rFonts w:ascii="Times New Roman" w:hAnsi="Times New Roman" w:cs="Times New Roman"/>
          <w:sz w:val="24"/>
          <w:szCs w:val="24"/>
        </w:rPr>
        <w:t>,</w:t>
      </w:r>
      <w:r w:rsidRPr="002C26FE">
        <w:rPr>
          <w:rFonts w:ascii="Times New Roman" w:hAnsi="Times New Roman" w:cs="Times New Roman"/>
          <w:sz w:val="24"/>
          <w:szCs w:val="24"/>
        </w:rPr>
        <w:t xml:space="preserve"> secundaria a síndrome de Felty. Se instauró tratamiento oportuno y se logró paulatinamente la cicatrización de las </w:t>
      </w:r>
      <w:r w:rsidRPr="002C26FE">
        <w:rPr>
          <w:rFonts w:ascii="Times New Roman" w:hAnsi="Times New Roman" w:cs="Times New Roman"/>
          <w:sz w:val="24"/>
          <w:szCs w:val="24"/>
        </w:rPr>
        <w:lastRenderedPageBreak/>
        <w:t>lesiones ulcerativas, la erradicación de la infección con recuperación de los valores normales de neutrófilos y la posterior recuperación de la paciente.</w:t>
      </w:r>
    </w:p>
    <w:p w14:paraId="15E9558A"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b/>
          <w:sz w:val="24"/>
          <w:szCs w:val="24"/>
        </w:rPr>
        <w:t>Conclusiones:</w:t>
      </w:r>
      <w:r w:rsidRPr="002C26FE">
        <w:rPr>
          <w:rFonts w:ascii="Times New Roman" w:hAnsi="Times New Roman" w:cs="Times New Roman"/>
          <w:sz w:val="24"/>
          <w:szCs w:val="24"/>
        </w:rPr>
        <w:t xml:space="preserve"> </w:t>
      </w:r>
      <w:r>
        <w:rPr>
          <w:rFonts w:ascii="Times New Roman" w:hAnsi="Times New Roman" w:cs="Times New Roman"/>
          <w:sz w:val="24"/>
          <w:szCs w:val="24"/>
        </w:rPr>
        <w:t>A</w:t>
      </w:r>
      <w:r w:rsidRPr="002C26FE">
        <w:rPr>
          <w:rFonts w:ascii="Times New Roman" w:hAnsi="Times New Roman" w:cs="Times New Roman"/>
          <w:sz w:val="24"/>
          <w:szCs w:val="24"/>
        </w:rPr>
        <w:t>l realizar el diagnóstico de síndrome de Felty, lo esencial es alcanzar un control inmediato de la enfermedad de base</w:t>
      </w:r>
      <w:r>
        <w:rPr>
          <w:rFonts w:ascii="Times New Roman" w:hAnsi="Times New Roman" w:cs="Times New Roman"/>
          <w:sz w:val="24"/>
          <w:szCs w:val="24"/>
        </w:rPr>
        <w:t>,</w:t>
      </w:r>
      <w:r w:rsidRPr="002C26FE">
        <w:rPr>
          <w:rFonts w:ascii="Times New Roman" w:hAnsi="Times New Roman" w:cs="Times New Roman"/>
          <w:sz w:val="24"/>
          <w:szCs w:val="24"/>
        </w:rPr>
        <w:t xml:space="preserve"> de las comorbilidades y a través del tratamiento obtener un incremento de la supervivencia de los pacientes.</w:t>
      </w:r>
    </w:p>
    <w:p w14:paraId="33835C3C"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b/>
          <w:sz w:val="24"/>
          <w:szCs w:val="24"/>
        </w:rPr>
        <w:t xml:space="preserve">Palabras clave: </w:t>
      </w:r>
      <w:r>
        <w:rPr>
          <w:rFonts w:ascii="Times New Roman" w:hAnsi="Times New Roman" w:cs="Times New Roman"/>
          <w:sz w:val="24"/>
          <w:szCs w:val="24"/>
        </w:rPr>
        <w:t>s</w:t>
      </w:r>
      <w:r w:rsidRPr="002C26FE">
        <w:rPr>
          <w:rFonts w:ascii="Times New Roman" w:hAnsi="Times New Roman" w:cs="Times New Roman"/>
          <w:sz w:val="24"/>
          <w:szCs w:val="24"/>
        </w:rPr>
        <w:t>índrome de Felty;</w:t>
      </w:r>
      <w:r w:rsidRPr="002C26FE">
        <w:rPr>
          <w:rFonts w:ascii="Times New Roman" w:hAnsi="Times New Roman" w:cs="Times New Roman"/>
          <w:b/>
          <w:sz w:val="24"/>
          <w:szCs w:val="24"/>
        </w:rPr>
        <w:t xml:space="preserve"> </w:t>
      </w:r>
      <w:r w:rsidRPr="002C26FE">
        <w:rPr>
          <w:rFonts w:ascii="Times New Roman" w:hAnsi="Times New Roman" w:cs="Times New Roman"/>
          <w:sz w:val="24"/>
          <w:szCs w:val="24"/>
        </w:rPr>
        <w:t xml:space="preserve">artritis reumatoide; </w:t>
      </w:r>
      <w:r>
        <w:rPr>
          <w:rFonts w:ascii="Times New Roman" w:hAnsi="Times New Roman" w:cs="Times New Roman"/>
          <w:sz w:val="24"/>
          <w:szCs w:val="24"/>
        </w:rPr>
        <w:t>s</w:t>
      </w:r>
      <w:r w:rsidRPr="002C26FE">
        <w:rPr>
          <w:rFonts w:ascii="Times New Roman" w:hAnsi="Times New Roman" w:cs="Times New Roman"/>
          <w:sz w:val="24"/>
          <w:szCs w:val="24"/>
        </w:rPr>
        <w:t>índrome de Felty</w:t>
      </w:r>
      <w:r>
        <w:rPr>
          <w:rFonts w:ascii="Times New Roman" w:hAnsi="Times New Roman" w:cs="Times New Roman"/>
          <w:sz w:val="24"/>
          <w:szCs w:val="24"/>
        </w:rPr>
        <w:t>,</w:t>
      </w:r>
      <w:r w:rsidRPr="002C26FE">
        <w:rPr>
          <w:rFonts w:ascii="Times New Roman" w:hAnsi="Times New Roman" w:cs="Times New Roman"/>
          <w:sz w:val="24"/>
          <w:szCs w:val="24"/>
        </w:rPr>
        <w:t xml:space="preserve"> tratamiento.</w:t>
      </w:r>
    </w:p>
    <w:p w14:paraId="5176401D" w14:textId="77777777" w:rsidR="007E4EBD" w:rsidRDefault="007E4EBD" w:rsidP="007E4EBD">
      <w:pPr>
        <w:spacing w:after="0" w:line="360" w:lineRule="auto"/>
        <w:rPr>
          <w:rFonts w:ascii="Times New Roman" w:hAnsi="Times New Roman" w:cs="Times New Roman"/>
          <w:b/>
          <w:sz w:val="24"/>
          <w:szCs w:val="24"/>
        </w:rPr>
      </w:pPr>
    </w:p>
    <w:p w14:paraId="40867BF7" w14:textId="77777777" w:rsidR="007E4EBD" w:rsidRPr="002C26FE" w:rsidRDefault="007E4EBD" w:rsidP="007E4EBD">
      <w:pPr>
        <w:spacing w:after="0" w:line="360" w:lineRule="auto"/>
        <w:rPr>
          <w:rFonts w:ascii="Times New Roman" w:hAnsi="Times New Roman" w:cs="Times New Roman"/>
          <w:b/>
          <w:sz w:val="24"/>
          <w:szCs w:val="24"/>
          <w:highlight w:val="yellow"/>
          <w:lang w:val="en-US"/>
        </w:rPr>
      </w:pPr>
      <w:r w:rsidRPr="002C26FE">
        <w:rPr>
          <w:rFonts w:ascii="Times New Roman" w:hAnsi="Times New Roman" w:cs="Times New Roman"/>
          <w:b/>
          <w:sz w:val="24"/>
          <w:szCs w:val="24"/>
          <w:lang w:val="en-US"/>
        </w:rPr>
        <w:t>ABSTRACT</w:t>
      </w:r>
    </w:p>
    <w:p w14:paraId="024E8DFF" w14:textId="77777777" w:rsidR="007E4EBD" w:rsidRPr="002C26FE" w:rsidRDefault="007E4EBD" w:rsidP="007E4EBD">
      <w:pPr>
        <w:spacing w:after="0" w:line="360" w:lineRule="auto"/>
        <w:jc w:val="both"/>
        <w:rPr>
          <w:rFonts w:ascii="Times New Roman" w:hAnsi="Times New Roman" w:cs="Times New Roman"/>
          <w:sz w:val="24"/>
          <w:szCs w:val="24"/>
          <w:lang w:val="en-US"/>
        </w:rPr>
      </w:pPr>
      <w:r w:rsidRPr="002C26FE">
        <w:rPr>
          <w:rFonts w:ascii="Times New Roman" w:hAnsi="Times New Roman" w:cs="Times New Roman"/>
          <w:b/>
          <w:sz w:val="24"/>
          <w:szCs w:val="24"/>
          <w:lang w:val="en-US"/>
        </w:rPr>
        <w:t xml:space="preserve">Introduction: </w:t>
      </w:r>
      <w:r w:rsidRPr="002C26FE">
        <w:rPr>
          <w:rFonts w:ascii="Times New Roman" w:hAnsi="Times New Roman" w:cs="Times New Roman"/>
          <w:sz w:val="24"/>
          <w:szCs w:val="24"/>
          <w:lang w:val="en-US"/>
        </w:rPr>
        <w:t>Felty's syndrome is a rare extra-articular complication of rheumatoid arthritis, first described in 1924. Felty described 5 patients who were characterized by the presence of a clinical triad of rheumatoid arthritis</w:t>
      </w:r>
      <w:r>
        <w:rPr>
          <w:rFonts w:ascii="Times New Roman" w:hAnsi="Times New Roman" w:cs="Times New Roman"/>
          <w:sz w:val="24"/>
          <w:szCs w:val="24"/>
          <w:lang w:val="en-US"/>
        </w:rPr>
        <w:t>,</w:t>
      </w:r>
      <w:r w:rsidRPr="002C26FE">
        <w:rPr>
          <w:rFonts w:ascii="Times New Roman" w:hAnsi="Times New Roman" w:cs="Times New Roman"/>
          <w:sz w:val="24"/>
          <w:szCs w:val="24"/>
          <w:lang w:val="en-US"/>
        </w:rPr>
        <w:t xml:space="preserve"> splenomegaly</w:t>
      </w:r>
      <w:r>
        <w:rPr>
          <w:rFonts w:ascii="Times New Roman" w:hAnsi="Times New Roman" w:cs="Times New Roman"/>
          <w:sz w:val="24"/>
          <w:szCs w:val="24"/>
          <w:lang w:val="en-US"/>
        </w:rPr>
        <w:t xml:space="preserve">, </w:t>
      </w:r>
      <w:r w:rsidRPr="002C26FE">
        <w:rPr>
          <w:rFonts w:ascii="Times New Roman" w:hAnsi="Times New Roman" w:cs="Times New Roman"/>
          <w:sz w:val="24"/>
          <w:szCs w:val="24"/>
          <w:lang w:val="en-US"/>
        </w:rPr>
        <w:t>and neutropenia that appears fundamentally in patients with long years of evolution of their disease. It is a clinical entity with a high degree of mortality, given that it is a poorly diagnosed disease and therefore not treated.</w:t>
      </w:r>
    </w:p>
    <w:p w14:paraId="1AAA2C42" w14:textId="77777777" w:rsidR="007E4EBD" w:rsidRPr="002C26FE" w:rsidRDefault="007E4EBD" w:rsidP="007E4EBD">
      <w:pPr>
        <w:spacing w:after="0" w:line="360" w:lineRule="auto"/>
        <w:jc w:val="both"/>
        <w:rPr>
          <w:rFonts w:ascii="Times New Roman" w:hAnsi="Times New Roman" w:cs="Times New Roman"/>
          <w:sz w:val="24"/>
          <w:szCs w:val="24"/>
          <w:lang w:val="en-US"/>
        </w:rPr>
      </w:pPr>
      <w:r w:rsidRPr="002C26FE">
        <w:rPr>
          <w:rFonts w:ascii="Times New Roman" w:hAnsi="Times New Roman" w:cs="Times New Roman"/>
          <w:b/>
          <w:sz w:val="24"/>
          <w:szCs w:val="24"/>
          <w:lang w:val="en-US"/>
        </w:rPr>
        <w:t>Objective:</w:t>
      </w:r>
      <w:r w:rsidRPr="002C26FE">
        <w:rPr>
          <w:rFonts w:ascii="Times New Roman" w:hAnsi="Times New Roman" w:cs="Times New Roman"/>
          <w:sz w:val="24"/>
          <w:szCs w:val="24"/>
          <w:lang w:val="en-US"/>
        </w:rPr>
        <w:t xml:space="preserve"> Present a clinical case of Felty´s syndrome, its clinical characteristics and the therapeutic procedure used.</w:t>
      </w:r>
    </w:p>
    <w:p w14:paraId="0D70916F" w14:textId="77777777" w:rsidR="007E4EBD" w:rsidRPr="002C26FE" w:rsidRDefault="007E4EBD" w:rsidP="007E4EBD">
      <w:pPr>
        <w:spacing w:after="0" w:line="360" w:lineRule="auto"/>
        <w:jc w:val="both"/>
        <w:rPr>
          <w:rFonts w:ascii="Times New Roman" w:hAnsi="Times New Roman" w:cs="Times New Roman"/>
          <w:sz w:val="24"/>
          <w:szCs w:val="24"/>
          <w:lang w:val="en-US"/>
        </w:rPr>
      </w:pPr>
      <w:r w:rsidRPr="002C26FE">
        <w:rPr>
          <w:rFonts w:ascii="Times New Roman" w:hAnsi="Times New Roman" w:cs="Times New Roman"/>
          <w:b/>
          <w:sz w:val="24"/>
          <w:szCs w:val="24"/>
          <w:lang w:val="en-US"/>
        </w:rPr>
        <w:t xml:space="preserve">Clinical case: </w:t>
      </w:r>
      <w:r w:rsidRPr="002C26FE">
        <w:rPr>
          <w:rFonts w:ascii="Times New Roman" w:hAnsi="Times New Roman" w:cs="Times New Roman"/>
          <w:sz w:val="24"/>
          <w:szCs w:val="24"/>
          <w:lang w:val="en-US"/>
        </w:rPr>
        <w:t xml:space="preserve">64-year-old female patient with a history of rheumatoid arthritis and hypothyroidism; both diseases without regular treatment. She attended </w:t>
      </w:r>
      <w:r>
        <w:rPr>
          <w:rFonts w:ascii="Times New Roman" w:hAnsi="Times New Roman" w:cs="Times New Roman"/>
          <w:sz w:val="24"/>
          <w:szCs w:val="24"/>
          <w:lang w:val="en-US"/>
        </w:rPr>
        <w:t>to</w:t>
      </w:r>
      <w:r w:rsidRPr="002C26FE">
        <w:rPr>
          <w:rFonts w:ascii="Times New Roman" w:hAnsi="Times New Roman" w:cs="Times New Roman"/>
          <w:sz w:val="24"/>
          <w:szCs w:val="24"/>
          <w:lang w:val="en-US"/>
        </w:rPr>
        <w:t xml:space="preserve"> emergency with fever and the presence of ulcerative lesions on the left lower limb with a necrotic background. </w:t>
      </w:r>
      <w:r>
        <w:rPr>
          <w:rFonts w:ascii="Times New Roman" w:hAnsi="Times New Roman" w:cs="Times New Roman"/>
          <w:sz w:val="24"/>
          <w:szCs w:val="24"/>
          <w:lang w:val="en-US"/>
        </w:rPr>
        <w:t>Due to</w:t>
      </w:r>
      <w:r w:rsidRPr="002C26FE">
        <w:rPr>
          <w:rFonts w:ascii="Times New Roman" w:hAnsi="Times New Roman" w:cs="Times New Roman"/>
          <w:sz w:val="24"/>
          <w:szCs w:val="24"/>
          <w:lang w:val="en-US"/>
        </w:rPr>
        <w:t xml:space="preserve"> leukopenia accompanied by splenomegaly, </w:t>
      </w:r>
      <w:r>
        <w:rPr>
          <w:rFonts w:ascii="Times New Roman" w:hAnsi="Times New Roman" w:cs="Times New Roman"/>
          <w:sz w:val="24"/>
          <w:szCs w:val="24"/>
          <w:lang w:val="en-US"/>
        </w:rPr>
        <w:t>s</w:t>
      </w:r>
      <w:r w:rsidRPr="002C26FE">
        <w:rPr>
          <w:rFonts w:ascii="Times New Roman" w:hAnsi="Times New Roman" w:cs="Times New Roman"/>
          <w:sz w:val="24"/>
          <w:szCs w:val="24"/>
          <w:lang w:val="en-US"/>
        </w:rPr>
        <w:t>he was diagnosed with febrile neutropenia (sepsis) secondary to Felty's syndrome. Treatment was established and healing of the ulcerative lesions was gradually achieved, the eradication of the infection with recovery of normal neutrophil values and the subsequent recovery of the patient.</w:t>
      </w:r>
    </w:p>
    <w:p w14:paraId="3288154F" w14:textId="77777777" w:rsidR="007E4EBD" w:rsidRPr="002C26FE" w:rsidRDefault="007E4EBD" w:rsidP="007E4EBD">
      <w:pPr>
        <w:spacing w:after="0" w:line="360" w:lineRule="auto"/>
        <w:jc w:val="both"/>
        <w:rPr>
          <w:rFonts w:ascii="Times New Roman" w:hAnsi="Times New Roman" w:cs="Times New Roman"/>
          <w:sz w:val="24"/>
          <w:szCs w:val="24"/>
          <w:lang w:val="en-US"/>
        </w:rPr>
      </w:pPr>
      <w:r w:rsidRPr="002C26FE">
        <w:rPr>
          <w:rFonts w:ascii="Times New Roman" w:hAnsi="Times New Roman" w:cs="Times New Roman"/>
          <w:b/>
          <w:sz w:val="24"/>
          <w:szCs w:val="24"/>
          <w:lang w:val="en-US"/>
        </w:rPr>
        <w:t xml:space="preserve">Conclusions: </w:t>
      </w:r>
      <w:r>
        <w:rPr>
          <w:rFonts w:ascii="Times New Roman" w:hAnsi="Times New Roman" w:cs="Times New Roman"/>
          <w:sz w:val="24"/>
          <w:szCs w:val="24"/>
          <w:lang w:val="en-US"/>
        </w:rPr>
        <w:t>W</w:t>
      </w:r>
      <w:r w:rsidRPr="002C26FE">
        <w:rPr>
          <w:rFonts w:ascii="Times New Roman" w:hAnsi="Times New Roman" w:cs="Times New Roman"/>
          <w:sz w:val="24"/>
          <w:szCs w:val="24"/>
          <w:lang w:val="en-US"/>
        </w:rPr>
        <w:t>hen diagnosi</w:t>
      </w:r>
      <w:r>
        <w:rPr>
          <w:rFonts w:ascii="Times New Roman" w:hAnsi="Times New Roman" w:cs="Times New Roman"/>
          <w:sz w:val="24"/>
          <w:szCs w:val="24"/>
          <w:lang w:val="en-US"/>
        </w:rPr>
        <w:t>ng</w:t>
      </w:r>
      <w:r w:rsidRPr="002C26FE">
        <w:rPr>
          <w:rFonts w:ascii="Times New Roman" w:hAnsi="Times New Roman" w:cs="Times New Roman"/>
          <w:sz w:val="24"/>
          <w:szCs w:val="24"/>
          <w:lang w:val="en-US"/>
        </w:rPr>
        <w:t xml:space="preserve"> Felty</w:t>
      </w:r>
      <w:r>
        <w:rPr>
          <w:rFonts w:ascii="Times New Roman" w:hAnsi="Times New Roman" w:cs="Times New Roman"/>
          <w:sz w:val="24"/>
          <w:szCs w:val="24"/>
          <w:lang w:val="en-US"/>
        </w:rPr>
        <w:t>’s</w:t>
      </w:r>
      <w:r w:rsidRPr="002C26FE">
        <w:rPr>
          <w:rFonts w:ascii="Times New Roman" w:hAnsi="Times New Roman" w:cs="Times New Roman"/>
          <w:sz w:val="24"/>
          <w:szCs w:val="24"/>
          <w:lang w:val="en-US"/>
        </w:rPr>
        <w:t xml:space="preserve"> syndrome, the essential thing is to achieve immediate control of the underlying disease and the comorbidities; and through treatment obtain an increase in patient survival.</w:t>
      </w:r>
    </w:p>
    <w:p w14:paraId="29A64434" w14:textId="77777777" w:rsidR="007E4EBD" w:rsidRDefault="007E4EBD" w:rsidP="007E4EBD">
      <w:pPr>
        <w:spacing w:after="0" w:line="360" w:lineRule="auto"/>
        <w:rPr>
          <w:rFonts w:ascii="Times New Roman" w:hAnsi="Times New Roman" w:cs="Times New Roman"/>
          <w:sz w:val="24"/>
          <w:szCs w:val="24"/>
          <w:lang w:val="en-US"/>
        </w:rPr>
      </w:pPr>
      <w:r w:rsidRPr="002C26FE">
        <w:rPr>
          <w:rFonts w:ascii="Times New Roman" w:hAnsi="Times New Roman" w:cs="Times New Roman"/>
          <w:b/>
          <w:sz w:val="24"/>
          <w:szCs w:val="24"/>
          <w:lang w:val="en-US"/>
        </w:rPr>
        <w:t>Keywords:</w:t>
      </w:r>
      <w:r w:rsidRPr="002C26FE">
        <w:rPr>
          <w:rFonts w:ascii="Times New Roman" w:hAnsi="Times New Roman" w:cs="Times New Roman"/>
          <w:sz w:val="24"/>
          <w:szCs w:val="24"/>
          <w:lang w:val="en-US"/>
        </w:rPr>
        <w:t xml:space="preserve"> Felty's syndrome; rheumatoid arthritis; Felty's syndrome</w:t>
      </w:r>
      <w:r>
        <w:rPr>
          <w:rFonts w:ascii="Times New Roman" w:hAnsi="Times New Roman" w:cs="Times New Roman"/>
          <w:sz w:val="24"/>
          <w:szCs w:val="24"/>
          <w:lang w:val="en-US"/>
        </w:rPr>
        <w:t>,</w:t>
      </w:r>
      <w:r w:rsidRPr="002C26FE">
        <w:rPr>
          <w:rFonts w:ascii="Times New Roman" w:hAnsi="Times New Roman" w:cs="Times New Roman"/>
          <w:sz w:val="24"/>
          <w:szCs w:val="24"/>
          <w:lang w:val="en-US"/>
        </w:rPr>
        <w:t xml:space="preserve"> treatment.</w:t>
      </w:r>
    </w:p>
    <w:p w14:paraId="6A9343D3" w14:textId="77777777" w:rsidR="007E4EBD" w:rsidRDefault="007E4EBD" w:rsidP="007E4EBD">
      <w:pPr>
        <w:spacing w:after="0" w:line="360" w:lineRule="auto"/>
        <w:rPr>
          <w:rFonts w:ascii="Times New Roman" w:hAnsi="Times New Roman" w:cs="Times New Roman"/>
          <w:sz w:val="24"/>
          <w:szCs w:val="24"/>
          <w:lang w:val="en-US"/>
        </w:rPr>
      </w:pPr>
    </w:p>
    <w:p w14:paraId="2E9DD3B0" w14:textId="77777777" w:rsidR="007E4EBD" w:rsidRDefault="007E4EBD" w:rsidP="007E4EBD">
      <w:pPr>
        <w:spacing w:after="0" w:line="360" w:lineRule="auto"/>
        <w:rPr>
          <w:rFonts w:ascii="Times New Roman" w:hAnsi="Times New Roman" w:cs="Times New Roman"/>
          <w:sz w:val="24"/>
          <w:szCs w:val="24"/>
          <w:lang w:val="en-US"/>
        </w:rPr>
      </w:pPr>
    </w:p>
    <w:p w14:paraId="1C672608" w14:textId="77777777" w:rsidR="00FD2D0D" w:rsidRDefault="00FD2D0D">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7CEDF33" w14:textId="0334D1F4" w:rsidR="007E4EBD" w:rsidRPr="00CE5B08" w:rsidRDefault="007E4EBD" w:rsidP="007E4EBD">
      <w:pPr>
        <w:spacing w:after="0" w:line="360" w:lineRule="auto"/>
        <w:rPr>
          <w:rFonts w:ascii="Times New Roman" w:hAnsi="Times New Roman" w:cs="Times New Roman"/>
          <w:sz w:val="24"/>
          <w:szCs w:val="24"/>
        </w:rPr>
      </w:pPr>
      <w:r w:rsidRPr="00CE5B08">
        <w:rPr>
          <w:rFonts w:ascii="Times New Roman" w:hAnsi="Times New Roman" w:cs="Times New Roman"/>
          <w:sz w:val="24"/>
          <w:szCs w:val="24"/>
        </w:rPr>
        <w:lastRenderedPageBreak/>
        <w:t>Recibido:</w:t>
      </w:r>
      <w:r>
        <w:rPr>
          <w:rFonts w:ascii="Times New Roman" w:hAnsi="Times New Roman" w:cs="Times New Roman"/>
          <w:sz w:val="24"/>
          <w:szCs w:val="24"/>
        </w:rPr>
        <w:t xml:space="preserve"> 19/11/2021</w:t>
      </w:r>
    </w:p>
    <w:p w14:paraId="5655A6AE" w14:textId="77777777" w:rsidR="007E4EBD" w:rsidRPr="00CE5B08" w:rsidRDefault="007E4EBD" w:rsidP="007E4EBD">
      <w:pPr>
        <w:spacing w:after="0" w:line="360" w:lineRule="auto"/>
        <w:ind w:left="708" w:hanging="708"/>
        <w:rPr>
          <w:rFonts w:ascii="Times New Roman" w:hAnsi="Times New Roman" w:cs="Times New Roman"/>
          <w:sz w:val="24"/>
          <w:szCs w:val="24"/>
        </w:rPr>
      </w:pPr>
      <w:r w:rsidRPr="00CE5B08">
        <w:rPr>
          <w:rFonts w:ascii="Times New Roman" w:hAnsi="Times New Roman" w:cs="Times New Roman"/>
          <w:sz w:val="24"/>
          <w:szCs w:val="24"/>
        </w:rPr>
        <w:t>Aprobado:</w:t>
      </w:r>
      <w:r>
        <w:rPr>
          <w:rFonts w:ascii="Times New Roman" w:hAnsi="Times New Roman" w:cs="Times New Roman"/>
          <w:sz w:val="24"/>
          <w:szCs w:val="24"/>
        </w:rPr>
        <w:t xml:space="preserve"> 22/02/2022</w:t>
      </w:r>
    </w:p>
    <w:p w14:paraId="2EE8447E" w14:textId="77777777" w:rsidR="007E4EBD" w:rsidRDefault="007E4EBD" w:rsidP="007E4EBD">
      <w:pPr>
        <w:spacing w:after="0" w:line="360" w:lineRule="auto"/>
        <w:jc w:val="center"/>
        <w:rPr>
          <w:rFonts w:ascii="Times New Roman" w:hAnsi="Times New Roman" w:cs="Times New Roman"/>
          <w:b/>
          <w:sz w:val="24"/>
          <w:szCs w:val="24"/>
        </w:rPr>
      </w:pPr>
    </w:p>
    <w:p w14:paraId="1F98631A" w14:textId="77777777" w:rsidR="007E4EBD" w:rsidRDefault="007E4EBD" w:rsidP="007E4EBD">
      <w:pPr>
        <w:spacing w:after="0" w:line="360" w:lineRule="auto"/>
        <w:jc w:val="center"/>
        <w:rPr>
          <w:rFonts w:ascii="Times New Roman" w:hAnsi="Times New Roman" w:cs="Times New Roman"/>
          <w:b/>
          <w:sz w:val="24"/>
          <w:szCs w:val="24"/>
        </w:rPr>
      </w:pPr>
    </w:p>
    <w:p w14:paraId="341EA14E" w14:textId="77777777" w:rsidR="007E4EBD" w:rsidRPr="004C44CC" w:rsidRDefault="007E4EBD" w:rsidP="007E4EBD">
      <w:pPr>
        <w:spacing w:after="0" w:line="360" w:lineRule="auto"/>
        <w:jc w:val="center"/>
        <w:rPr>
          <w:rFonts w:ascii="Times New Roman" w:hAnsi="Times New Roman" w:cs="Times New Roman"/>
          <w:b/>
          <w:sz w:val="32"/>
          <w:szCs w:val="32"/>
        </w:rPr>
      </w:pPr>
      <w:r w:rsidRPr="004C44CC">
        <w:rPr>
          <w:rFonts w:ascii="Times New Roman" w:hAnsi="Times New Roman" w:cs="Times New Roman"/>
          <w:b/>
          <w:sz w:val="32"/>
          <w:szCs w:val="32"/>
        </w:rPr>
        <w:t>INTRODUCCIÓN</w:t>
      </w:r>
    </w:p>
    <w:p w14:paraId="161F0468"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El síndrome de Felty es una rara complicación extraarticular de la artritis reumatoide, descrito por primera vez en 1924.  Felty describió 5 pacientes que se caracterizaban por la presencia de una tríada clínica de artritis reumatoide</w:t>
      </w:r>
      <w:r>
        <w:rPr>
          <w:rFonts w:ascii="Times New Roman" w:hAnsi="Times New Roman" w:cs="Times New Roman"/>
          <w:sz w:val="24"/>
          <w:szCs w:val="24"/>
        </w:rPr>
        <w:t>,</w:t>
      </w:r>
      <w:r w:rsidRPr="002C26FE">
        <w:rPr>
          <w:rFonts w:ascii="Times New Roman" w:hAnsi="Times New Roman" w:cs="Times New Roman"/>
          <w:sz w:val="24"/>
          <w:szCs w:val="24"/>
        </w:rPr>
        <w:t xml:space="preserve"> esplenomegalia </w:t>
      </w:r>
      <w:r>
        <w:rPr>
          <w:rFonts w:ascii="Times New Roman" w:hAnsi="Times New Roman" w:cs="Times New Roman"/>
          <w:sz w:val="24"/>
          <w:szCs w:val="24"/>
        </w:rPr>
        <w:t>y</w:t>
      </w:r>
      <w:r w:rsidRPr="002C26FE">
        <w:rPr>
          <w:rFonts w:ascii="Times New Roman" w:hAnsi="Times New Roman" w:cs="Times New Roman"/>
          <w:sz w:val="24"/>
          <w:szCs w:val="24"/>
        </w:rPr>
        <w:t xml:space="preserve"> neutropenia</w:t>
      </w:r>
      <w:r>
        <w:rPr>
          <w:rFonts w:ascii="Times New Roman" w:hAnsi="Times New Roman" w:cs="Times New Roman"/>
          <w:sz w:val="24"/>
          <w:szCs w:val="24"/>
        </w:rPr>
        <w:t>,</w:t>
      </w:r>
      <w:r w:rsidRPr="002C26FE">
        <w:rPr>
          <w:rFonts w:ascii="Times New Roman" w:hAnsi="Times New Roman" w:cs="Times New Roman"/>
          <w:sz w:val="24"/>
          <w:szCs w:val="24"/>
        </w:rPr>
        <w:t xml:space="preserve"> que aparece fundamentalmente en los pacientes con largos años de evolución de su enfermedad. Es una entidad clínica con alto grado de mortalidad, dado a que es una enfermedad poco diagnosticada y por tanto no tratada.</w:t>
      </w:r>
      <w:r w:rsidRPr="002C26FE">
        <w:rPr>
          <w:rFonts w:ascii="Times New Roman" w:hAnsi="Times New Roman" w:cs="Times New Roman"/>
          <w:sz w:val="24"/>
          <w:szCs w:val="24"/>
          <w:vertAlign w:val="superscript"/>
        </w:rPr>
        <w:t>(1,2,3,4)</w:t>
      </w:r>
    </w:p>
    <w:p w14:paraId="3EF8BFCE"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Su presencia necesita de una evaluación detallada del enfermo, en la cual es importante la habilidad del médico. El síndrome de Felty afecta aproximadamente al 1 % de los pacientes diagnosticados por artritis reumatoide y acompañado de otras manifestaciones clínicas. Esta rara complicación puede propiciar la aparición de enfermedades infecciosas oportunistas y conducir al paciente a la sepsis e incluso la muerte de no ser tratado en el momento preciso.</w:t>
      </w:r>
      <w:r w:rsidRPr="002C26FE">
        <w:rPr>
          <w:rFonts w:ascii="Times New Roman" w:hAnsi="Times New Roman" w:cs="Times New Roman"/>
          <w:sz w:val="24"/>
          <w:szCs w:val="24"/>
          <w:vertAlign w:val="superscript"/>
        </w:rPr>
        <w:t>(1,5)</w:t>
      </w:r>
      <w:r w:rsidRPr="002C26FE">
        <w:rPr>
          <w:rFonts w:ascii="Times New Roman" w:hAnsi="Times New Roman" w:cs="Times New Roman"/>
          <w:sz w:val="24"/>
          <w:szCs w:val="24"/>
        </w:rPr>
        <w:t xml:space="preserve"> </w:t>
      </w:r>
    </w:p>
    <w:p w14:paraId="67E31A40"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La presentación del siguiente caso tiene la finalidad de mostrar las características clínicas de una singular enfermedad. El objetivo del estudio es presentar un caso clínico de síndrome de Felty, sus características clínicas y el procedimiento terapéutico empleado.</w:t>
      </w:r>
    </w:p>
    <w:p w14:paraId="0E72EFFB" w14:textId="77777777" w:rsidR="007E4EBD" w:rsidRDefault="007E4EBD" w:rsidP="007E4EBD">
      <w:pPr>
        <w:spacing w:after="0" w:line="360" w:lineRule="auto"/>
        <w:jc w:val="center"/>
        <w:rPr>
          <w:rFonts w:ascii="Times New Roman" w:hAnsi="Times New Roman" w:cs="Times New Roman"/>
          <w:b/>
          <w:sz w:val="24"/>
          <w:szCs w:val="24"/>
        </w:rPr>
      </w:pPr>
    </w:p>
    <w:p w14:paraId="6A6D24C8" w14:textId="77777777" w:rsidR="007E4EBD" w:rsidRDefault="007E4EBD" w:rsidP="007E4EBD">
      <w:pPr>
        <w:spacing w:after="0" w:line="360" w:lineRule="auto"/>
        <w:jc w:val="center"/>
        <w:rPr>
          <w:rFonts w:ascii="Times New Roman" w:hAnsi="Times New Roman" w:cs="Times New Roman"/>
          <w:b/>
          <w:sz w:val="24"/>
          <w:szCs w:val="24"/>
        </w:rPr>
      </w:pPr>
    </w:p>
    <w:p w14:paraId="7828FA20" w14:textId="77777777" w:rsidR="007E4EBD" w:rsidRPr="0009226C" w:rsidRDefault="007E4EBD" w:rsidP="007E4EBD">
      <w:pPr>
        <w:spacing w:after="0" w:line="360" w:lineRule="auto"/>
        <w:jc w:val="center"/>
        <w:rPr>
          <w:rFonts w:ascii="Times New Roman" w:hAnsi="Times New Roman" w:cs="Times New Roman"/>
          <w:b/>
          <w:sz w:val="32"/>
          <w:szCs w:val="32"/>
        </w:rPr>
      </w:pPr>
      <w:r w:rsidRPr="0009226C">
        <w:rPr>
          <w:rFonts w:ascii="Times New Roman" w:hAnsi="Times New Roman" w:cs="Times New Roman"/>
          <w:b/>
          <w:sz w:val="32"/>
          <w:szCs w:val="32"/>
        </w:rPr>
        <w:t>CASO CLÍNICO</w:t>
      </w:r>
    </w:p>
    <w:p w14:paraId="571085ED"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 xml:space="preserve">Paciente femenina de 64 años de edad, con antecedentes de artritis reumatoide diagnosticada hace 25 años e hipotiroidismo diagnosticado hace 5 años; ambas enfermedades sin tratamiento regular en el último año. Asistió al servicio de urgencias del hospital con fiebre y presencia de úlceras en miembros inferiores, cuadro que se ha presentado en </w:t>
      </w:r>
      <w:r>
        <w:rPr>
          <w:rFonts w:ascii="Times New Roman" w:hAnsi="Times New Roman" w:cs="Times New Roman"/>
          <w:sz w:val="24"/>
          <w:szCs w:val="24"/>
        </w:rPr>
        <w:t>2</w:t>
      </w:r>
      <w:r w:rsidRPr="002C26FE">
        <w:rPr>
          <w:rFonts w:ascii="Times New Roman" w:hAnsi="Times New Roman" w:cs="Times New Roman"/>
          <w:sz w:val="24"/>
          <w:szCs w:val="24"/>
        </w:rPr>
        <w:t xml:space="preserve"> ocasiones anteriores durante los últimos 8 meses.</w:t>
      </w:r>
    </w:p>
    <w:p w14:paraId="2FEEA8F2"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Examen físico:</w:t>
      </w:r>
      <w:r>
        <w:rPr>
          <w:rFonts w:ascii="Times New Roman" w:hAnsi="Times New Roman" w:cs="Times New Roman"/>
          <w:sz w:val="24"/>
          <w:szCs w:val="24"/>
        </w:rPr>
        <w:t xml:space="preserve"> p</w:t>
      </w:r>
      <w:r w:rsidRPr="002C26FE">
        <w:rPr>
          <w:rFonts w:ascii="Times New Roman" w:hAnsi="Times New Roman" w:cs="Times New Roman"/>
          <w:sz w:val="24"/>
          <w:szCs w:val="24"/>
        </w:rPr>
        <w:t>eso: 45 kg; talla: 160 cm; índice de masa corporal (IMC): 17,6 kg/m</w:t>
      </w:r>
      <w:r w:rsidRPr="002C26FE">
        <w:rPr>
          <w:rFonts w:ascii="Times New Roman" w:hAnsi="Times New Roman" w:cs="Times New Roman"/>
          <w:sz w:val="24"/>
          <w:szCs w:val="24"/>
          <w:vertAlign w:val="superscript"/>
        </w:rPr>
        <w:t>2</w:t>
      </w:r>
      <w:r w:rsidRPr="002C26FE">
        <w:rPr>
          <w:rFonts w:ascii="Times New Roman" w:hAnsi="Times New Roman" w:cs="Times New Roman"/>
          <w:sz w:val="24"/>
          <w:szCs w:val="24"/>
        </w:rPr>
        <w:t xml:space="preserve"> (delgadez leve).</w:t>
      </w:r>
    </w:p>
    <w:p w14:paraId="71D40934"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Aparato respiratorio: frecuencia respiratoria de 25 respiraciones por minuto.</w:t>
      </w:r>
    </w:p>
    <w:p w14:paraId="6E72000E"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lastRenderedPageBreak/>
        <w:t>Aparato cardiovascular: ruidos cardíacos rítmicos, frecuencia cardíaca central de 119 latidos por minuto, tensión arterial de 94/62 mmHg, tensión arterial media de 72,6 mmHg; con un llenado capilar de 6 segundos y gradiente térmico distal a nivel de manos y pies.</w:t>
      </w:r>
    </w:p>
    <w:p w14:paraId="26791625"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 xml:space="preserve">Piel: dos lesiones ulcerativas distribuidas en miembro inferior izquierdo, la mayor (Fig. 1) ubicada en la región anterior de la pierna con 25 cm de largo y 9 cm de ancho; y la menor (Fig. 2) en región anterior del muslo con un largo por ancho de 10 cm por 5 cm. Ambas lesiones con bordes irregulares y eritematosos, fondo necrótico, presencia de dermis expuesta y secreción de pus.  </w:t>
      </w:r>
    </w:p>
    <w:p w14:paraId="0E534311"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Exámenes complementarios:</w:t>
      </w:r>
    </w:p>
    <w:p w14:paraId="2B408A71"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Hemograma completo: hemoglobina: 91 g/L, hematocrito: 0,30, leucocitos: 2,4x10</w:t>
      </w:r>
      <w:r w:rsidRPr="002C26FE">
        <w:rPr>
          <w:rFonts w:ascii="Times New Roman" w:hAnsi="Times New Roman" w:cs="Times New Roman"/>
          <w:sz w:val="24"/>
          <w:szCs w:val="24"/>
          <w:vertAlign w:val="superscript"/>
        </w:rPr>
        <w:t>9</w:t>
      </w:r>
      <w:r w:rsidRPr="002C26FE">
        <w:rPr>
          <w:rFonts w:ascii="Times New Roman" w:hAnsi="Times New Roman" w:cs="Times New Roman"/>
          <w:sz w:val="24"/>
          <w:szCs w:val="24"/>
        </w:rPr>
        <w:t>/L, neutrófilos: 0,08, linfocitos: 0,92. Conteo de neutrófilos 192/mm</w:t>
      </w:r>
      <w:r w:rsidRPr="002C26FE">
        <w:rPr>
          <w:rFonts w:ascii="Times New Roman" w:hAnsi="Times New Roman" w:cs="Times New Roman"/>
          <w:sz w:val="24"/>
          <w:szCs w:val="24"/>
          <w:vertAlign w:val="superscript"/>
        </w:rPr>
        <w:t>3</w:t>
      </w:r>
      <w:r w:rsidRPr="002C26FE">
        <w:rPr>
          <w:rFonts w:ascii="Times New Roman" w:hAnsi="Times New Roman" w:cs="Times New Roman"/>
          <w:sz w:val="24"/>
          <w:szCs w:val="24"/>
        </w:rPr>
        <w:t xml:space="preserve"> (neutropenia </w:t>
      </w:r>
      <w:r>
        <w:rPr>
          <w:rFonts w:ascii="Times New Roman" w:hAnsi="Times New Roman" w:cs="Times New Roman"/>
          <w:sz w:val="24"/>
          <w:szCs w:val="24"/>
        </w:rPr>
        <w:t>marcada</w:t>
      </w:r>
      <w:r w:rsidRPr="002C26FE">
        <w:rPr>
          <w:rFonts w:ascii="Times New Roman" w:hAnsi="Times New Roman" w:cs="Times New Roman"/>
          <w:sz w:val="24"/>
          <w:szCs w:val="24"/>
        </w:rPr>
        <w:t>).</w:t>
      </w:r>
    </w:p>
    <w:p w14:paraId="660BCB6B"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Velocidad de sedimentación globular: 89 mL/s.</w:t>
      </w:r>
    </w:p>
    <w:p w14:paraId="6D87B4D0"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Coagulograma: conteo de plaquetas: 98x10</w:t>
      </w:r>
      <w:r w:rsidRPr="002C26FE">
        <w:rPr>
          <w:rFonts w:ascii="Times New Roman" w:hAnsi="Times New Roman" w:cs="Times New Roman"/>
          <w:sz w:val="24"/>
          <w:szCs w:val="24"/>
          <w:vertAlign w:val="superscript"/>
        </w:rPr>
        <w:t>9</w:t>
      </w:r>
      <w:r w:rsidRPr="002C26FE">
        <w:rPr>
          <w:rFonts w:ascii="Times New Roman" w:hAnsi="Times New Roman" w:cs="Times New Roman"/>
          <w:sz w:val="24"/>
          <w:szCs w:val="24"/>
        </w:rPr>
        <w:t>/L.</w:t>
      </w:r>
    </w:p>
    <w:p w14:paraId="0A3093D1"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Creatinina: 113 µmol/L.</w:t>
      </w:r>
    </w:p>
    <w:p w14:paraId="04A35CF8"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Filtrado glomerular (MDRD): 45,1 ml/min.</w:t>
      </w:r>
    </w:p>
    <w:p w14:paraId="0A3257BC"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Lámina periférica: hematíes normocíticos – normocrómicos, leucocitos y plaquetas de aspecto normal.</w:t>
      </w:r>
    </w:p>
    <w:p w14:paraId="485C7F45"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Cultivo de secreciones de las lesiones ulcerativas: estreptococo B – hemolítico.</w:t>
      </w:r>
    </w:p>
    <w:p w14:paraId="1F8B47D8"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Ultrasonido abdominal: bazo que mide 151 x 66 mm de ecotextura conservada.</w:t>
      </w:r>
    </w:p>
    <w:p w14:paraId="3D4FF1C6" w14:textId="77777777" w:rsidR="007E4EBD" w:rsidRDefault="007E4EBD" w:rsidP="007E4EBD">
      <w:pPr>
        <w:spacing w:after="0" w:line="360" w:lineRule="auto"/>
        <w:jc w:val="both"/>
        <w:rPr>
          <w:rFonts w:ascii="Times New Roman" w:hAnsi="Times New Roman" w:cs="Times New Roman"/>
          <w:b/>
          <w:noProof/>
          <w:color w:val="FF0000"/>
          <w:sz w:val="24"/>
          <w:szCs w:val="24"/>
          <w:lang w:eastAsia="es-ES"/>
        </w:rPr>
      </w:pPr>
    </w:p>
    <w:p w14:paraId="3EFB1DA2" w14:textId="77777777" w:rsidR="007E4EBD" w:rsidRDefault="007E4EBD" w:rsidP="007E4EBD">
      <w:pPr>
        <w:spacing w:after="0" w:line="360" w:lineRule="auto"/>
        <w:jc w:val="center"/>
        <w:rPr>
          <w:rFonts w:ascii="Times New Roman" w:hAnsi="Times New Roman" w:cs="Times New Roman"/>
          <w:b/>
          <w:sz w:val="24"/>
          <w:szCs w:val="24"/>
        </w:rPr>
      </w:pPr>
      <w:r w:rsidRPr="005E12E7">
        <w:rPr>
          <w:rFonts w:ascii="Times New Roman" w:hAnsi="Times New Roman" w:cs="Times New Roman"/>
          <w:noProof/>
          <w:sz w:val="24"/>
          <w:szCs w:val="24"/>
          <w:lang w:eastAsia="es-ES"/>
        </w:rPr>
        <w:drawing>
          <wp:inline distT="0" distB="0" distL="0" distR="0" wp14:anchorId="0E35CEEA" wp14:editId="33BA9A8E">
            <wp:extent cx="4558437" cy="2038350"/>
            <wp:effectExtent l="0" t="0" r="0" b="0"/>
            <wp:docPr id="3" name="Imagen 3" descr="D:\proyectos\PUBLICACIONES\IDEAS\Síndrome de Felty\20210519_17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yectos\PUBLICACIONES\IDEAS\Síndrome de Felty\20210519_1731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8329" cy="2051716"/>
                    </a:xfrm>
                    <a:prstGeom prst="rect">
                      <a:avLst/>
                    </a:prstGeom>
                    <a:noFill/>
                    <a:ln>
                      <a:noFill/>
                    </a:ln>
                  </pic:spPr>
                </pic:pic>
              </a:graphicData>
            </a:graphic>
          </wp:inline>
        </w:drawing>
      </w:r>
    </w:p>
    <w:p w14:paraId="42ACAE7C" w14:textId="042EF0E0" w:rsidR="007E4EBD" w:rsidRPr="00A42C81" w:rsidRDefault="007E4EBD" w:rsidP="007E4EBD">
      <w:pPr>
        <w:spacing w:after="0" w:line="360" w:lineRule="auto"/>
        <w:jc w:val="center"/>
        <w:rPr>
          <w:rFonts w:ascii="Times New Roman" w:hAnsi="Times New Roman" w:cs="Times New Roman"/>
          <w:color w:val="FF0000"/>
        </w:rPr>
      </w:pPr>
      <w:r w:rsidRPr="00A42C81">
        <w:rPr>
          <w:rFonts w:ascii="Times New Roman" w:hAnsi="Times New Roman" w:cs="Times New Roman"/>
          <w:b/>
        </w:rPr>
        <w:t>Fig. 1</w:t>
      </w:r>
      <w:r w:rsidRPr="00A42C81">
        <w:rPr>
          <w:rFonts w:ascii="Times New Roman" w:hAnsi="Times New Roman" w:cs="Times New Roman"/>
        </w:rPr>
        <w:t xml:space="preserve"> – Lesión ulcerativa en</w:t>
      </w:r>
      <w:r w:rsidR="001825DF">
        <w:rPr>
          <w:rFonts w:ascii="Times New Roman" w:hAnsi="Times New Roman" w:cs="Times New Roman"/>
        </w:rPr>
        <w:t xml:space="preserve"> la</w:t>
      </w:r>
      <w:r w:rsidRPr="00A42C81">
        <w:rPr>
          <w:rFonts w:ascii="Times New Roman" w:hAnsi="Times New Roman" w:cs="Times New Roman"/>
        </w:rPr>
        <w:t xml:space="preserve"> pierna izquierda.</w:t>
      </w:r>
    </w:p>
    <w:p w14:paraId="75AEB4B1" w14:textId="77777777" w:rsidR="007E4EBD" w:rsidRDefault="007E4EBD" w:rsidP="007E4EBD">
      <w:pPr>
        <w:spacing w:after="0" w:line="360" w:lineRule="auto"/>
        <w:jc w:val="both"/>
        <w:rPr>
          <w:rFonts w:ascii="Times New Roman" w:hAnsi="Times New Roman" w:cs="Times New Roman"/>
          <w:color w:val="FF0000"/>
          <w:sz w:val="24"/>
          <w:szCs w:val="24"/>
        </w:rPr>
      </w:pPr>
    </w:p>
    <w:p w14:paraId="4A56EED9" w14:textId="77777777" w:rsidR="007E4EBD" w:rsidRDefault="007E4EBD" w:rsidP="007E4EBD">
      <w:pPr>
        <w:spacing w:after="0" w:line="360" w:lineRule="auto"/>
        <w:jc w:val="center"/>
        <w:rPr>
          <w:rFonts w:ascii="Times New Roman" w:hAnsi="Times New Roman" w:cs="Times New Roman"/>
          <w:b/>
          <w:sz w:val="24"/>
          <w:szCs w:val="24"/>
        </w:rPr>
      </w:pPr>
      <w:r w:rsidRPr="005E12E7">
        <w:rPr>
          <w:rFonts w:ascii="Times New Roman" w:hAnsi="Times New Roman" w:cs="Times New Roman"/>
          <w:noProof/>
          <w:sz w:val="24"/>
          <w:szCs w:val="24"/>
          <w:lang w:eastAsia="es-ES"/>
        </w:rPr>
        <w:lastRenderedPageBreak/>
        <w:drawing>
          <wp:inline distT="0" distB="0" distL="0" distR="0" wp14:anchorId="24C6E5A7" wp14:editId="0BCE1E82">
            <wp:extent cx="4280669" cy="2162175"/>
            <wp:effectExtent l="0" t="0" r="5715" b="0"/>
            <wp:docPr id="4" name="Imagen 4" descr="D:\proyectos\PUBLICACIONES\IDEAS\Síndrome de Felty\20210514_18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yectos\PUBLICACIONES\IDEAS\Síndrome de Felty\20210514_1818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2635" cy="2178321"/>
                    </a:xfrm>
                    <a:prstGeom prst="rect">
                      <a:avLst/>
                    </a:prstGeom>
                    <a:noFill/>
                    <a:ln>
                      <a:noFill/>
                    </a:ln>
                  </pic:spPr>
                </pic:pic>
              </a:graphicData>
            </a:graphic>
          </wp:inline>
        </w:drawing>
      </w:r>
    </w:p>
    <w:p w14:paraId="0415E11D" w14:textId="1E28A4C0" w:rsidR="007E4EBD" w:rsidRPr="00A42C81" w:rsidRDefault="007E4EBD" w:rsidP="007E4EBD">
      <w:pPr>
        <w:spacing w:after="0" w:line="360" w:lineRule="auto"/>
        <w:jc w:val="center"/>
        <w:rPr>
          <w:rFonts w:ascii="Times New Roman" w:hAnsi="Times New Roman" w:cs="Times New Roman"/>
          <w:color w:val="FF0000"/>
        </w:rPr>
      </w:pPr>
      <w:r w:rsidRPr="00A42C81">
        <w:rPr>
          <w:rFonts w:ascii="Times New Roman" w:hAnsi="Times New Roman" w:cs="Times New Roman"/>
          <w:b/>
        </w:rPr>
        <w:t>Fig. 2</w:t>
      </w:r>
      <w:r w:rsidRPr="00A42C81">
        <w:rPr>
          <w:rFonts w:ascii="Times New Roman" w:hAnsi="Times New Roman" w:cs="Times New Roman"/>
        </w:rPr>
        <w:t xml:space="preserve"> – Lesión ulcerativa en</w:t>
      </w:r>
      <w:r w:rsidR="00075013">
        <w:rPr>
          <w:rFonts w:ascii="Times New Roman" w:hAnsi="Times New Roman" w:cs="Times New Roman"/>
        </w:rPr>
        <w:t xml:space="preserve"> el</w:t>
      </w:r>
      <w:r w:rsidRPr="00A42C81">
        <w:rPr>
          <w:rFonts w:ascii="Times New Roman" w:hAnsi="Times New Roman" w:cs="Times New Roman"/>
        </w:rPr>
        <w:t xml:space="preserve"> muslo izquierdo.</w:t>
      </w:r>
    </w:p>
    <w:p w14:paraId="5669C6B0" w14:textId="77777777" w:rsidR="007E4EBD" w:rsidRPr="002C26FE" w:rsidRDefault="007E4EBD" w:rsidP="007E4EBD">
      <w:pPr>
        <w:spacing w:after="0" w:line="360" w:lineRule="auto"/>
        <w:jc w:val="both"/>
        <w:rPr>
          <w:rFonts w:ascii="Times New Roman" w:hAnsi="Times New Roman" w:cs="Times New Roman"/>
          <w:sz w:val="24"/>
          <w:szCs w:val="24"/>
        </w:rPr>
      </w:pPr>
    </w:p>
    <w:p w14:paraId="32F82DC6" w14:textId="77777777" w:rsidR="007E4EBD"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 xml:space="preserve">A la paciente se le diagnosticó una neutropenia febril (sepsis) secundaria a síndrome de Felty. Se le instauró una hidratación con cristaloides de acuerdo a las demandas del paciente y su enfermedad, que en conjunto con los antimicrobianos de amplio espectro, el meronem (bulbo 1g) 1 bulbo cada 8 horas más vancomicina (bulbo 500 mg) a una dosis de 15 mg/kg/dosis </w:t>
      </w:r>
      <w:r>
        <w:rPr>
          <w:rFonts w:ascii="Times New Roman" w:hAnsi="Times New Roman" w:cs="Times New Roman"/>
          <w:sz w:val="24"/>
          <w:szCs w:val="24"/>
        </w:rPr>
        <w:t>2</w:t>
      </w:r>
      <w:r w:rsidRPr="002C26FE">
        <w:rPr>
          <w:rFonts w:ascii="Times New Roman" w:hAnsi="Times New Roman" w:cs="Times New Roman"/>
          <w:sz w:val="24"/>
          <w:szCs w:val="24"/>
        </w:rPr>
        <w:t xml:space="preserve"> veces por día; ambos antimicrobianos ajustados a la función renal del paciente y administrado</w:t>
      </w:r>
      <w:r>
        <w:rPr>
          <w:rFonts w:ascii="Times New Roman" w:hAnsi="Times New Roman" w:cs="Times New Roman"/>
          <w:sz w:val="24"/>
          <w:szCs w:val="24"/>
        </w:rPr>
        <w:t>s</w:t>
      </w:r>
      <w:r w:rsidRPr="002C26FE">
        <w:rPr>
          <w:rFonts w:ascii="Times New Roman" w:hAnsi="Times New Roman" w:cs="Times New Roman"/>
          <w:sz w:val="24"/>
          <w:szCs w:val="24"/>
        </w:rPr>
        <w:t xml:space="preserve"> por vía </w:t>
      </w:r>
      <w:r>
        <w:rPr>
          <w:rFonts w:ascii="Times New Roman" w:hAnsi="Times New Roman" w:cs="Times New Roman"/>
          <w:sz w:val="24"/>
          <w:szCs w:val="24"/>
        </w:rPr>
        <w:t>i.v.</w:t>
      </w:r>
      <w:r w:rsidRPr="002C26FE">
        <w:rPr>
          <w:rFonts w:ascii="Times New Roman" w:hAnsi="Times New Roman" w:cs="Times New Roman"/>
          <w:sz w:val="24"/>
          <w:szCs w:val="24"/>
        </w:rPr>
        <w:t>. Se le reincorporó la prednisona oral (a 1 mg/kg/día)</w:t>
      </w:r>
      <w:r>
        <w:rPr>
          <w:rFonts w:ascii="Times New Roman" w:hAnsi="Times New Roman" w:cs="Times New Roman"/>
          <w:sz w:val="24"/>
          <w:szCs w:val="24"/>
        </w:rPr>
        <w:t>,</w:t>
      </w:r>
      <w:r w:rsidRPr="002C26FE">
        <w:rPr>
          <w:rFonts w:ascii="Times New Roman" w:hAnsi="Times New Roman" w:cs="Times New Roman"/>
          <w:sz w:val="24"/>
          <w:szCs w:val="24"/>
        </w:rPr>
        <w:t xml:space="preserve"> la levotiroxina oral (100 µg) 1 tableta al día, además se le asocia al tratamiento la atorvastatina</w:t>
      </w:r>
      <w:r>
        <w:rPr>
          <w:rFonts w:ascii="Times New Roman" w:hAnsi="Times New Roman" w:cs="Times New Roman"/>
          <w:sz w:val="24"/>
          <w:szCs w:val="24"/>
        </w:rPr>
        <w:t>,</w:t>
      </w:r>
      <w:r w:rsidRPr="002C26FE">
        <w:rPr>
          <w:rFonts w:ascii="Times New Roman" w:hAnsi="Times New Roman" w:cs="Times New Roman"/>
          <w:sz w:val="24"/>
          <w:szCs w:val="24"/>
        </w:rPr>
        <w:t xml:space="preserve"> 2 tabletas de 20 mg al día y la eritropoyetina a una dosis subcutánea de 4000 U </w:t>
      </w:r>
      <w:r>
        <w:rPr>
          <w:rFonts w:ascii="Times New Roman" w:hAnsi="Times New Roman" w:cs="Times New Roman"/>
          <w:sz w:val="24"/>
          <w:szCs w:val="24"/>
        </w:rPr>
        <w:t>3</w:t>
      </w:r>
      <w:r w:rsidRPr="002C26FE">
        <w:rPr>
          <w:rFonts w:ascii="Times New Roman" w:hAnsi="Times New Roman" w:cs="Times New Roman"/>
          <w:sz w:val="24"/>
          <w:szCs w:val="24"/>
        </w:rPr>
        <w:t xml:space="preserve"> veces a la semana, ambos medicamentos (atorvastatina y eritropoyetina) usados para modular la respuesta inmune y evitar la lesión endotelial. Se asoció la fraxiheparina sódica (0,6 mL) a una dosis de 0,1 mL por cada 10 </w:t>
      </w:r>
      <w:r>
        <w:rPr>
          <w:rFonts w:ascii="Times New Roman" w:hAnsi="Times New Roman" w:cs="Times New Roman"/>
          <w:sz w:val="24"/>
          <w:szCs w:val="24"/>
        </w:rPr>
        <w:t>k</w:t>
      </w:r>
      <w:r w:rsidRPr="002C26FE">
        <w:rPr>
          <w:rFonts w:ascii="Times New Roman" w:hAnsi="Times New Roman" w:cs="Times New Roman"/>
          <w:sz w:val="24"/>
          <w:szCs w:val="24"/>
        </w:rPr>
        <w:t>g de peso y se le realizaron curas progresivas de las úlceras cutáneas del miembro inferior izquierdo. Se logró paulatinamente la cicatrización de las lesiones ulcerativas, la erradicación de la infección con recuperación de los valores normales de neutrófilos y la posterior recuperación de la paciente.</w:t>
      </w:r>
    </w:p>
    <w:p w14:paraId="7600C49E" w14:textId="77777777" w:rsidR="007E4EBD" w:rsidRPr="002C26FE" w:rsidRDefault="007E4EBD" w:rsidP="007E4EBD">
      <w:pPr>
        <w:spacing w:after="0" w:line="360" w:lineRule="auto"/>
        <w:jc w:val="both"/>
        <w:rPr>
          <w:rFonts w:ascii="Times New Roman" w:hAnsi="Times New Roman" w:cs="Times New Roman"/>
          <w:sz w:val="24"/>
          <w:szCs w:val="24"/>
        </w:rPr>
      </w:pPr>
    </w:p>
    <w:p w14:paraId="1683CA60" w14:textId="77777777" w:rsidR="007E4EBD" w:rsidRDefault="007E4EBD" w:rsidP="007E4EBD">
      <w:pPr>
        <w:spacing w:after="0" w:line="360" w:lineRule="auto"/>
        <w:jc w:val="center"/>
        <w:rPr>
          <w:rFonts w:ascii="Times New Roman" w:hAnsi="Times New Roman" w:cs="Times New Roman"/>
          <w:b/>
          <w:sz w:val="24"/>
          <w:szCs w:val="24"/>
        </w:rPr>
      </w:pPr>
    </w:p>
    <w:p w14:paraId="114E9C0E" w14:textId="77777777" w:rsidR="003C63EA" w:rsidRDefault="003C63EA">
      <w:pPr>
        <w:suppressAutoHyphens w:val="0"/>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58F78AC8" w14:textId="7D751FB7" w:rsidR="007E4EBD" w:rsidRPr="004B258C" w:rsidRDefault="007E4EBD" w:rsidP="007E4EBD">
      <w:pPr>
        <w:spacing w:after="0" w:line="360" w:lineRule="auto"/>
        <w:jc w:val="center"/>
        <w:rPr>
          <w:rFonts w:ascii="Times New Roman" w:hAnsi="Times New Roman" w:cs="Times New Roman"/>
          <w:b/>
          <w:sz w:val="32"/>
          <w:szCs w:val="32"/>
        </w:rPr>
      </w:pPr>
      <w:r w:rsidRPr="004B258C">
        <w:rPr>
          <w:rFonts w:ascii="Times New Roman" w:hAnsi="Times New Roman" w:cs="Times New Roman"/>
          <w:b/>
          <w:sz w:val="32"/>
          <w:szCs w:val="32"/>
        </w:rPr>
        <w:lastRenderedPageBreak/>
        <w:t>COMENTARIOS</w:t>
      </w:r>
    </w:p>
    <w:p w14:paraId="2B94068E"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La artritis reumatoide es una forma clínica de las artritis inflamatorias crónicas, con importantes manifestaciones extrarticulares. La tríada constituida por artritis reumatoide</w:t>
      </w:r>
      <w:r>
        <w:rPr>
          <w:rFonts w:ascii="Times New Roman" w:hAnsi="Times New Roman" w:cs="Times New Roman"/>
          <w:sz w:val="24"/>
          <w:szCs w:val="24"/>
        </w:rPr>
        <w:t xml:space="preserve">, </w:t>
      </w:r>
      <w:r w:rsidRPr="002C26FE">
        <w:rPr>
          <w:rFonts w:ascii="Times New Roman" w:hAnsi="Times New Roman" w:cs="Times New Roman"/>
          <w:sz w:val="24"/>
          <w:szCs w:val="24"/>
        </w:rPr>
        <w:t xml:space="preserve">esplenomegalia </w:t>
      </w:r>
      <w:r>
        <w:rPr>
          <w:rFonts w:ascii="Times New Roman" w:hAnsi="Times New Roman" w:cs="Times New Roman"/>
          <w:sz w:val="24"/>
          <w:szCs w:val="24"/>
        </w:rPr>
        <w:t>y</w:t>
      </w:r>
      <w:r w:rsidRPr="002C26FE">
        <w:rPr>
          <w:rFonts w:ascii="Times New Roman" w:hAnsi="Times New Roman" w:cs="Times New Roman"/>
          <w:sz w:val="24"/>
          <w:szCs w:val="24"/>
        </w:rPr>
        <w:t xml:space="preserve"> neutropenia es la base del diagnóstico del síndrome de Felty.</w:t>
      </w:r>
      <w:r w:rsidRPr="002C26FE">
        <w:rPr>
          <w:rFonts w:ascii="Times New Roman" w:hAnsi="Times New Roman" w:cs="Times New Roman"/>
          <w:sz w:val="24"/>
          <w:szCs w:val="24"/>
          <w:vertAlign w:val="superscript"/>
        </w:rPr>
        <w:t>(6,7)</w:t>
      </w:r>
    </w:p>
    <w:p w14:paraId="68CC3EA4"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Las úlceras cutáneas en los miembros inferiores a veces son el principal indicador de esta enfermedad, siempre y cuando se descarte el uso del metrotexate en los pacientes con diagnóstico de artritis reumatoide</w:t>
      </w:r>
      <w:r>
        <w:rPr>
          <w:rFonts w:ascii="Times New Roman" w:hAnsi="Times New Roman" w:cs="Times New Roman"/>
          <w:sz w:val="24"/>
          <w:szCs w:val="24"/>
        </w:rPr>
        <w:t>;</w:t>
      </w:r>
      <w:r w:rsidRPr="002C26FE">
        <w:rPr>
          <w:rFonts w:ascii="Times New Roman" w:hAnsi="Times New Roman" w:cs="Times New Roman"/>
          <w:sz w:val="24"/>
          <w:szCs w:val="24"/>
        </w:rPr>
        <w:t xml:space="preserve"> su aparición es dependiente de la vasculitis y de los trastornos isquémicos locales. La neutropenia está definida por valores de conteo absoluto de neutrófilos inferiores a los 2000/mm</w:t>
      </w:r>
      <w:r w:rsidRPr="002C26FE">
        <w:rPr>
          <w:rFonts w:ascii="Times New Roman" w:hAnsi="Times New Roman" w:cs="Times New Roman"/>
          <w:sz w:val="24"/>
          <w:szCs w:val="24"/>
          <w:vertAlign w:val="superscript"/>
        </w:rPr>
        <w:t>3</w:t>
      </w:r>
      <w:r w:rsidRPr="002C26FE">
        <w:rPr>
          <w:rFonts w:ascii="Times New Roman" w:hAnsi="Times New Roman" w:cs="Times New Roman"/>
          <w:sz w:val="24"/>
          <w:szCs w:val="24"/>
        </w:rPr>
        <w:t>, aparece entre la primera y segunda década desde la aparición de la artritis reumatoide; su patogénesis no está bien definida hasta el momento. La neutropenia y la esplenomegalia en el síndrome de Felty tienen un origen multifactorial.</w:t>
      </w:r>
      <w:r w:rsidRPr="002C26FE">
        <w:rPr>
          <w:rFonts w:ascii="Times New Roman" w:hAnsi="Times New Roman" w:cs="Times New Roman"/>
          <w:sz w:val="24"/>
          <w:szCs w:val="24"/>
          <w:vertAlign w:val="superscript"/>
        </w:rPr>
        <w:t>(7,8,9,10)</w:t>
      </w:r>
    </w:p>
    <w:p w14:paraId="7E8BF73C"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 xml:space="preserve">El tratamiento debe estar dirigido al control de la enfermedad de base (artritis reumatoide), mediante el uso de agentes como los glucocorticoides (con efectos antiinflamatorios – inmunosupresores). Los fármacos modificadores de la enfermedad como el metrotexate (no utilizado en la paciente por afectar la replicación celular de la epidermis) </w:t>
      </w:r>
      <w:r>
        <w:rPr>
          <w:rFonts w:ascii="Times New Roman" w:hAnsi="Times New Roman" w:cs="Times New Roman"/>
          <w:sz w:val="24"/>
          <w:szCs w:val="24"/>
        </w:rPr>
        <w:t>y</w:t>
      </w:r>
      <w:r w:rsidRPr="002C26FE">
        <w:rPr>
          <w:rFonts w:ascii="Times New Roman" w:hAnsi="Times New Roman" w:cs="Times New Roman"/>
          <w:sz w:val="24"/>
          <w:szCs w:val="24"/>
        </w:rPr>
        <w:t xml:space="preserve"> el tratamiento oportuno de los procesos infecciosos presentes</w:t>
      </w:r>
      <w:r>
        <w:rPr>
          <w:rFonts w:ascii="Times New Roman" w:hAnsi="Times New Roman" w:cs="Times New Roman"/>
          <w:sz w:val="24"/>
          <w:szCs w:val="24"/>
        </w:rPr>
        <w:t>,</w:t>
      </w:r>
      <w:r w:rsidRPr="002C26FE">
        <w:rPr>
          <w:rFonts w:ascii="Times New Roman" w:hAnsi="Times New Roman" w:cs="Times New Roman"/>
          <w:sz w:val="24"/>
          <w:szCs w:val="24"/>
        </w:rPr>
        <w:t xml:space="preserve"> a través de una terapéutica antimicrobiana empírica de amplio espectro o específica, ya que las infecciones constituyen la principal causa de mortalidad.</w:t>
      </w:r>
      <w:r w:rsidRPr="002C26FE">
        <w:rPr>
          <w:rFonts w:ascii="Times New Roman" w:hAnsi="Times New Roman" w:cs="Times New Roman"/>
          <w:sz w:val="24"/>
          <w:szCs w:val="24"/>
          <w:vertAlign w:val="superscript"/>
        </w:rPr>
        <w:t>(7,10,11)</w:t>
      </w:r>
    </w:p>
    <w:p w14:paraId="5A98BAF2" w14:textId="77777777" w:rsidR="007E4EBD" w:rsidRPr="002C26FE"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El uso de la atorvastatina y la eritropoyetina en la paciente, está fundamentado en las investigaciones que han demostrado los efectos inmunomoduladores de la atorvastatina</w:t>
      </w:r>
      <w:r>
        <w:rPr>
          <w:rFonts w:ascii="Times New Roman" w:hAnsi="Times New Roman" w:cs="Times New Roman"/>
          <w:sz w:val="24"/>
          <w:szCs w:val="24"/>
        </w:rPr>
        <w:t>,</w:t>
      </w:r>
      <w:r w:rsidRPr="002C26FE">
        <w:rPr>
          <w:rFonts w:ascii="Times New Roman" w:hAnsi="Times New Roman" w:cs="Times New Roman"/>
          <w:sz w:val="24"/>
          <w:szCs w:val="24"/>
        </w:rPr>
        <w:t xml:space="preserve"> asociado a la disminución de la mortalidad por sepsis</w:t>
      </w:r>
      <w:r>
        <w:rPr>
          <w:rFonts w:ascii="Times New Roman" w:hAnsi="Times New Roman" w:cs="Times New Roman"/>
          <w:sz w:val="24"/>
          <w:szCs w:val="24"/>
        </w:rPr>
        <w:t>,</w:t>
      </w:r>
      <w:r w:rsidRPr="002C26FE">
        <w:rPr>
          <w:rFonts w:ascii="Times New Roman" w:hAnsi="Times New Roman" w:cs="Times New Roman"/>
          <w:sz w:val="24"/>
          <w:szCs w:val="24"/>
        </w:rPr>
        <w:t xml:space="preserve"> debido a su capacidad de inhibir una parte de los reactantes de fase aguda y a sus propiedades antioxidantes</w:t>
      </w:r>
      <w:r>
        <w:rPr>
          <w:rFonts w:ascii="Times New Roman" w:hAnsi="Times New Roman" w:cs="Times New Roman"/>
          <w:sz w:val="24"/>
          <w:szCs w:val="24"/>
        </w:rPr>
        <w:t>.</w:t>
      </w:r>
      <w:r w:rsidRPr="002C26FE">
        <w:rPr>
          <w:rFonts w:ascii="Times New Roman" w:hAnsi="Times New Roman" w:cs="Times New Roman"/>
          <w:sz w:val="24"/>
          <w:szCs w:val="24"/>
        </w:rPr>
        <w:t xml:space="preserve"> </w:t>
      </w:r>
      <w:r>
        <w:rPr>
          <w:rFonts w:ascii="Times New Roman" w:hAnsi="Times New Roman" w:cs="Times New Roman"/>
          <w:sz w:val="24"/>
          <w:szCs w:val="24"/>
        </w:rPr>
        <w:t>L</w:t>
      </w:r>
      <w:r w:rsidRPr="002C26FE">
        <w:rPr>
          <w:rFonts w:ascii="Times New Roman" w:hAnsi="Times New Roman" w:cs="Times New Roman"/>
          <w:sz w:val="24"/>
          <w:szCs w:val="24"/>
        </w:rPr>
        <w:t>a eritropoyetina asociada al uso de anticoagulantes del tipo de las heparina impide la disfunción endotelial y los fenómenos trombogénicos.</w:t>
      </w:r>
      <w:r w:rsidRPr="002C26FE">
        <w:rPr>
          <w:rFonts w:ascii="Times New Roman" w:hAnsi="Times New Roman" w:cs="Times New Roman"/>
          <w:sz w:val="24"/>
          <w:szCs w:val="24"/>
          <w:vertAlign w:val="superscript"/>
        </w:rPr>
        <w:t>(12,13,14)</w:t>
      </w:r>
    </w:p>
    <w:p w14:paraId="3048C363" w14:textId="77777777" w:rsidR="007E4EBD" w:rsidRDefault="007E4EBD" w:rsidP="007E4EBD">
      <w:pPr>
        <w:spacing w:after="0" w:line="360" w:lineRule="auto"/>
        <w:jc w:val="both"/>
        <w:rPr>
          <w:rFonts w:ascii="Times New Roman" w:hAnsi="Times New Roman" w:cs="Times New Roman"/>
          <w:sz w:val="24"/>
          <w:szCs w:val="24"/>
        </w:rPr>
      </w:pPr>
      <w:r w:rsidRPr="002C26FE">
        <w:rPr>
          <w:rFonts w:ascii="Times New Roman" w:hAnsi="Times New Roman" w:cs="Times New Roman"/>
          <w:sz w:val="24"/>
          <w:szCs w:val="24"/>
        </w:rPr>
        <w:t>Se concluye que al realizar el diagnóstico de síndrome de Felty, lo esencial es alcanzar un control inmediato de la enfermedad de base y de las comorbilidades asociadas al enfermo y a través del tratamiento obtener un incremento de la supervivencia de los pacientes.</w:t>
      </w:r>
    </w:p>
    <w:p w14:paraId="727C6EE6" w14:textId="77777777" w:rsidR="007E4EBD" w:rsidRPr="002C26FE" w:rsidRDefault="007E4EBD" w:rsidP="007E4EBD">
      <w:pPr>
        <w:spacing w:after="0" w:line="360" w:lineRule="auto"/>
        <w:jc w:val="both"/>
        <w:rPr>
          <w:rFonts w:ascii="Times New Roman" w:hAnsi="Times New Roman" w:cs="Times New Roman"/>
          <w:sz w:val="24"/>
          <w:szCs w:val="24"/>
        </w:rPr>
      </w:pPr>
    </w:p>
    <w:p w14:paraId="2AB767C4" w14:textId="77777777" w:rsidR="007E4EBD" w:rsidRPr="00CE5B08" w:rsidRDefault="007E4EBD" w:rsidP="007E4EBD">
      <w:pPr>
        <w:spacing w:after="0" w:line="360" w:lineRule="auto"/>
        <w:jc w:val="center"/>
        <w:rPr>
          <w:rFonts w:ascii="Times New Roman" w:hAnsi="Times New Roman" w:cs="Times New Roman"/>
          <w:b/>
          <w:sz w:val="24"/>
          <w:szCs w:val="24"/>
        </w:rPr>
      </w:pPr>
    </w:p>
    <w:p w14:paraId="59148791" w14:textId="77777777" w:rsidR="007E4EBD" w:rsidRPr="005926D1" w:rsidRDefault="007E4EBD" w:rsidP="007E4EBD">
      <w:pPr>
        <w:spacing w:after="0" w:line="360" w:lineRule="auto"/>
        <w:jc w:val="center"/>
        <w:rPr>
          <w:rFonts w:ascii="Times New Roman" w:hAnsi="Times New Roman" w:cs="Times New Roman"/>
          <w:b/>
          <w:sz w:val="32"/>
          <w:szCs w:val="32"/>
          <w:lang w:val="en-US"/>
        </w:rPr>
      </w:pPr>
      <w:r w:rsidRPr="005926D1">
        <w:rPr>
          <w:rFonts w:ascii="Times New Roman" w:hAnsi="Times New Roman" w:cs="Times New Roman"/>
          <w:b/>
          <w:sz w:val="32"/>
          <w:szCs w:val="32"/>
          <w:lang w:val="en-US"/>
        </w:rPr>
        <w:lastRenderedPageBreak/>
        <w:t>REFERENCIAS BIBLIOGRÁFICAS</w:t>
      </w:r>
    </w:p>
    <w:p w14:paraId="03A1BCD1" w14:textId="77777777" w:rsidR="007E4EBD" w:rsidRPr="002C26FE" w:rsidRDefault="007E4EBD" w:rsidP="007E4EBD">
      <w:pPr>
        <w:spacing w:after="0" w:line="360" w:lineRule="auto"/>
        <w:rPr>
          <w:rFonts w:ascii="Times New Roman" w:hAnsi="Times New Roman" w:cs="Times New Roman"/>
          <w:sz w:val="24"/>
          <w:szCs w:val="24"/>
          <w:lang w:val="en-US"/>
        </w:rPr>
      </w:pPr>
      <w:r w:rsidRPr="002C26FE">
        <w:rPr>
          <w:rFonts w:ascii="Times New Roman" w:hAnsi="Times New Roman" w:cs="Times New Roman"/>
          <w:sz w:val="24"/>
          <w:szCs w:val="24"/>
          <w:lang w:val="en-US"/>
        </w:rPr>
        <w:t xml:space="preserve">1. Nimri D, Abdallah MA, Waqas QA, Abdalla A, Tantoush H. Severe Neutropenia Complicated with Necrotizing Fasciitis Unveils a Diagnosis of Rheumatoid Arthritis: A Case Report. Cureus. 2019 [acceso: 29/10/2021]; 11(2): 4079. Disponible en: </w:t>
      </w:r>
      <w:hyperlink r:id="rId13">
        <w:r w:rsidRPr="002C26FE">
          <w:rPr>
            <w:rStyle w:val="EnlacedeInternet"/>
            <w:rFonts w:ascii="Times New Roman" w:hAnsi="Times New Roman" w:cs="Times New Roman"/>
            <w:sz w:val="24"/>
            <w:szCs w:val="24"/>
            <w:lang w:val="en-US"/>
          </w:rPr>
          <w:t>https://dx.doi.org/10.7759/cureus.4079</w:t>
        </w:r>
      </w:hyperlink>
    </w:p>
    <w:p w14:paraId="6ED54A0E"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lang w:val="en-US"/>
        </w:rPr>
        <w:t xml:space="preserve">2. Wu P, Sun W, Li J. Rheumatoid arthritis patients with peripheral blood cell reduction should be evaluated for latent Felty syndrome: A case report. </w:t>
      </w:r>
      <w:r w:rsidRPr="002C26FE">
        <w:rPr>
          <w:rFonts w:ascii="Times New Roman" w:hAnsi="Times New Roman" w:cs="Times New Roman"/>
          <w:sz w:val="24"/>
          <w:szCs w:val="24"/>
        </w:rPr>
        <w:t xml:space="preserve">Medicine. 2020 [acceso: 29/10/2021]; 99(51): 23608. Disponible en: </w:t>
      </w:r>
      <w:hyperlink r:id="rId14">
        <w:r w:rsidRPr="002C26FE">
          <w:rPr>
            <w:rStyle w:val="EnlacedeInternet"/>
            <w:rFonts w:ascii="Times New Roman" w:hAnsi="Times New Roman" w:cs="Times New Roman"/>
            <w:sz w:val="24"/>
            <w:szCs w:val="24"/>
          </w:rPr>
          <w:t>http://dx.doi.org/10.1097/MD.0000000000023608</w:t>
        </w:r>
      </w:hyperlink>
    </w:p>
    <w:p w14:paraId="0786FAC4" w14:textId="77777777" w:rsidR="007E4EBD" w:rsidRPr="00720B37"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 xml:space="preserve">3. Ocampo JJ, Fregoso YA, Llorente L. Pancytopenia as Manifestation of Nonarticular Felty Syndrome. </w:t>
      </w:r>
      <w:r w:rsidRPr="00720B37">
        <w:rPr>
          <w:rFonts w:ascii="Times New Roman" w:hAnsi="Times New Roman" w:cs="Times New Roman"/>
          <w:sz w:val="24"/>
          <w:szCs w:val="24"/>
        </w:rPr>
        <w:t xml:space="preserve">JCR. 2018 [acceso: 29/10/2021]; 27(8S): S613-14. Disponible en: </w:t>
      </w:r>
      <w:hyperlink r:id="rId15">
        <w:r w:rsidRPr="00720B37">
          <w:rPr>
            <w:rStyle w:val="EnlacedeInternet"/>
            <w:rFonts w:ascii="Times New Roman" w:hAnsi="Times New Roman" w:cs="Times New Roman"/>
            <w:sz w:val="24"/>
            <w:szCs w:val="24"/>
          </w:rPr>
          <w:t>https://dx.doi.org/10.1097/RHU.0000000000000906</w:t>
        </w:r>
      </w:hyperlink>
    </w:p>
    <w:p w14:paraId="604EF875"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lang w:val="en-US"/>
        </w:rPr>
        <w:t xml:space="preserve">4. Holbrook WP, Turner EP, Maciver JE. Felty's Syndrome. British Journal of Oral Surgery. </w:t>
      </w:r>
      <w:r w:rsidRPr="002C26FE">
        <w:rPr>
          <w:rFonts w:ascii="Times New Roman" w:hAnsi="Times New Roman" w:cs="Times New Roman"/>
          <w:sz w:val="24"/>
          <w:szCs w:val="24"/>
        </w:rPr>
        <w:t>1980 [acceso: 31/10/2021]; 17</w:t>
      </w:r>
      <w:r>
        <w:rPr>
          <w:rFonts w:ascii="Times New Roman" w:hAnsi="Times New Roman" w:cs="Times New Roman"/>
          <w:sz w:val="24"/>
          <w:szCs w:val="24"/>
        </w:rPr>
        <w:t>(2)</w:t>
      </w:r>
      <w:r w:rsidRPr="002C26FE">
        <w:rPr>
          <w:rFonts w:ascii="Times New Roman" w:hAnsi="Times New Roman" w:cs="Times New Roman"/>
          <w:sz w:val="24"/>
          <w:szCs w:val="24"/>
        </w:rPr>
        <w:t xml:space="preserve">: 157 – 160. Disponible en: </w:t>
      </w:r>
      <w:hyperlink r:id="rId16">
        <w:r w:rsidRPr="002C26FE">
          <w:rPr>
            <w:rStyle w:val="EnlacedeInternet"/>
            <w:rFonts w:ascii="Times New Roman" w:hAnsi="Times New Roman" w:cs="Times New Roman"/>
            <w:sz w:val="24"/>
            <w:szCs w:val="24"/>
          </w:rPr>
          <w:t>https://doi.org/10.1016/S0007-117X(79)80043-8</w:t>
        </w:r>
      </w:hyperlink>
    </w:p>
    <w:p w14:paraId="509E96BD"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 xml:space="preserve">5. Aluja Jaramillo F, Mahecha J. Manifestaciones torácicas y dermatológicas de las enfermedades sistémicas: claves para el radiólogo general. Rev. Colomb. Radiol. 2020 [acceso: 31/10/2021]; 31(4): 5435 – 5446. Disponible en: </w:t>
      </w:r>
      <w:hyperlink r:id="rId17">
        <w:r w:rsidRPr="002C26FE">
          <w:rPr>
            <w:rStyle w:val="EnlacedeInternet"/>
            <w:rFonts w:ascii="Times New Roman" w:hAnsi="Times New Roman" w:cs="Times New Roman"/>
            <w:sz w:val="24"/>
            <w:szCs w:val="24"/>
          </w:rPr>
          <w:t>http://contenido.acronline.org/Publicaciones/RCR/RCR31-4/RCR-31-4-03_Manifestaciones.pdf</w:t>
        </w:r>
      </w:hyperlink>
    </w:p>
    <w:p w14:paraId="6F09C2A0"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lang w:val="en-US"/>
        </w:rPr>
        <w:t xml:space="preserve">6. Yazıcı A, Uçar A, Mehtap Ö, Gönüllü EÖ, Tamer A. Presentation of three cases followed up with a diagnosis of Felty síndrome. </w:t>
      </w:r>
      <w:r w:rsidRPr="002C26FE">
        <w:rPr>
          <w:rFonts w:ascii="Times New Roman" w:hAnsi="Times New Roman" w:cs="Times New Roman"/>
          <w:sz w:val="24"/>
          <w:szCs w:val="24"/>
        </w:rPr>
        <w:t xml:space="preserve">Eur J Rheumatol. 2014 [acceso: 02/11/2021]; 1: 120 – 122. Disponible en: </w:t>
      </w:r>
      <w:hyperlink r:id="rId18">
        <w:r w:rsidRPr="002C26FE">
          <w:rPr>
            <w:rStyle w:val="EnlacedeInternet"/>
            <w:rFonts w:ascii="Times New Roman" w:hAnsi="Times New Roman" w:cs="Times New Roman"/>
            <w:sz w:val="24"/>
            <w:szCs w:val="24"/>
          </w:rPr>
          <w:t>https://www.ncbi.nlm.nih.gov/pmc/articles/PMC5042221/pdf/ejr-1-3-120.pdf</w:t>
        </w:r>
      </w:hyperlink>
    </w:p>
    <w:p w14:paraId="647C5887"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 xml:space="preserve">7. Abdelkader HA, Abdel Galeil Y, Elbendary A, El Mofty M, Abdel Halim MRE. </w:t>
      </w:r>
      <w:r w:rsidRPr="002C26FE">
        <w:rPr>
          <w:rFonts w:ascii="Times New Roman" w:hAnsi="Times New Roman" w:cs="Times New Roman"/>
          <w:sz w:val="24"/>
          <w:szCs w:val="24"/>
          <w:lang w:val="en-US"/>
        </w:rPr>
        <w:t xml:space="preserve">Multiple Skin Ulcers in a Rheumatoid Arthritis Patient: Answer. Am J Dermatopathol. </w:t>
      </w:r>
      <w:r w:rsidRPr="002C26FE">
        <w:rPr>
          <w:rFonts w:ascii="Times New Roman" w:hAnsi="Times New Roman" w:cs="Times New Roman"/>
          <w:sz w:val="24"/>
          <w:szCs w:val="24"/>
        </w:rPr>
        <w:t xml:space="preserve">2020 [acceso: 02/11/2021]; 42(2): 146 – 147. Disponible en: </w:t>
      </w:r>
      <w:hyperlink r:id="rId19">
        <w:r w:rsidRPr="002C26FE">
          <w:rPr>
            <w:rStyle w:val="EnlacedeInternet"/>
            <w:rFonts w:ascii="Times New Roman" w:hAnsi="Times New Roman" w:cs="Times New Roman"/>
            <w:sz w:val="24"/>
            <w:szCs w:val="24"/>
          </w:rPr>
          <w:t>https://dx.doi.org/10.1097/DAD.0000000000001326</w:t>
        </w:r>
      </w:hyperlink>
    </w:p>
    <w:p w14:paraId="115D1C2C" w14:textId="77777777" w:rsidR="007E4EBD" w:rsidRPr="002C26FE" w:rsidRDefault="007E4EBD" w:rsidP="007E4EBD">
      <w:pPr>
        <w:spacing w:after="0" w:line="360" w:lineRule="auto"/>
        <w:rPr>
          <w:rStyle w:val="EnlacedeInternet"/>
          <w:rFonts w:ascii="Times New Roman" w:hAnsi="Times New Roman" w:cs="Times New Roman"/>
          <w:sz w:val="24"/>
          <w:szCs w:val="24"/>
        </w:rPr>
      </w:pPr>
      <w:r w:rsidRPr="002C26FE">
        <w:rPr>
          <w:rFonts w:ascii="Times New Roman" w:hAnsi="Times New Roman" w:cs="Times New Roman"/>
          <w:sz w:val="24"/>
          <w:szCs w:val="24"/>
        </w:rPr>
        <w:t xml:space="preserve">8. Dubon P, Lim F, Bhandari S, Chauhan S, Solanki P, et al. </w:t>
      </w:r>
      <w:r w:rsidRPr="002C26FE">
        <w:rPr>
          <w:rFonts w:ascii="Times New Roman" w:hAnsi="Times New Roman" w:cs="Times New Roman"/>
          <w:sz w:val="24"/>
          <w:szCs w:val="24"/>
          <w:lang w:val="en-US"/>
        </w:rPr>
        <w:t xml:space="preserve">Felty’s Syndrome: Triad Not Always Evident. </w:t>
      </w:r>
      <w:r>
        <w:rPr>
          <w:rFonts w:ascii="Times New Roman" w:hAnsi="Times New Roman" w:cs="Times New Roman"/>
          <w:sz w:val="24"/>
          <w:szCs w:val="24"/>
          <w:lang w:val="en-US"/>
        </w:rPr>
        <w:t xml:space="preserve">Florida: </w:t>
      </w:r>
      <w:r w:rsidRPr="002C26FE">
        <w:rPr>
          <w:rFonts w:ascii="Times New Roman" w:hAnsi="Times New Roman" w:cs="Times New Roman"/>
          <w:sz w:val="24"/>
          <w:szCs w:val="24"/>
          <w:lang w:val="en-US"/>
        </w:rPr>
        <w:t>Florida Chapter of American College of Physicians Annual Meeting</w:t>
      </w:r>
      <w:r>
        <w:rPr>
          <w:rFonts w:ascii="Times New Roman" w:hAnsi="Times New Roman" w:cs="Times New Roman"/>
          <w:sz w:val="24"/>
          <w:szCs w:val="24"/>
          <w:lang w:val="en-US"/>
        </w:rPr>
        <w:t>;</w:t>
      </w:r>
      <w:r w:rsidRPr="002C26FE">
        <w:rPr>
          <w:rFonts w:ascii="Times New Roman" w:hAnsi="Times New Roman" w:cs="Times New Roman"/>
          <w:sz w:val="24"/>
          <w:szCs w:val="24"/>
          <w:lang w:val="en-US"/>
        </w:rPr>
        <w:t xml:space="preserve"> 2019</w:t>
      </w:r>
      <w:r>
        <w:rPr>
          <w:rFonts w:ascii="Times New Roman" w:hAnsi="Times New Roman" w:cs="Times New Roman"/>
          <w:sz w:val="24"/>
          <w:szCs w:val="24"/>
          <w:lang w:val="en-US"/>
        </w:rPr>
        <w:t>.</w:t>
      </w:r>
      <w:r w:rsidRPr="002C26FE">
        <w:rPr>
          <w:rFonts w:ascii="Times New Roman" w:hAnsi="Times New Roman" w:cs="Times New Roman"/>
          <w:sz w:val="24"/>
          <w:szCs w:val="24"/>
          <w:lang w:val="en-US"/>
        </w:rPr>
        <w:t xml:space="preserve"> </w:t>
      </w:r>
      <w:r w:rsidRPr="00CE5B08">
        <w:rPr>
          <w:rFonts w:ascii="Times New Roman" w:hAnsi="Times New Roman" w:cs="Times New Roman"/>
          <w:sz w:val="24"/>
          <w:szCs w:val="24"/>
        </w:rPr>
        <w:t xml:space="preserve">[acceso: 02/11/2021]. </w:t>
      </w:r>
      <w:r w:rsidRPr="002C26FE">
        <w:rPr>
          <w:rFonts w:ascii="Times New Roman" w:hAnsi="Times New Roman" w:cs="Times New Roman"/>
          <w:sz w:val="24"/>
          <w:szCs w:val="24"/>
        </w:rPr>
        <w:t xml:space="preserve">Disponible en: </w:t>
      </w:r>
      <w:hyperlink r:id="rId20">
        <w:r w:rsidRPr="002C26FE">
          <w:rPr>
            <w:rStyle w:val="EnlacedeInternet"/>
            <w:rFonts w:ascii="Times New Roman" w:hAnsi="Times New Roman" w:cs="Times New Roman"/>
            <w:sz w:val="24"/>
            <w:szCs w:val="24"/>
          </w:rPr>
          <w:t>https://scholarlycommons.hcahealthcare.com/cgi/viewcontent.cgi?article=1023&amp;context=internal-medicine</w:t>
        </w:r>
      </w:hyperlink>
      <w:r w:rsidRPr="002C26FE">
        <w:rPr>
          <w:rStyle w:val="EnlacedeInternet"/>
          <w:rFonts w:ascii="Times New Roman" w:hAnsi="Times New Roman" w:cs="Times New Roman"/>
          <w:sz w:val="24"/>
          <w:szCs w:val="24"/>
        </w:rPr>
        <w:t xml:space="preserve"> </w:t>
      </w:r>
    </w:p>
    <w:p w14:paraId="3C0E7164"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lang w:val="en-US"/>
        </w:rPr>
        <w:t xml:space="preserve">9. Burks EJ, Loughran TP. Pathogenesis of neutropenia in large granular lymphocyte leukemia and Felty síndrome. </w:t>
      </w:r>
      <w:r w:rsidRPr="002C26FE">
        <w:rPr>
          <w:rFonts w:ascii="Times New Roman" w:hAnsi="Times New Roman" w:cs="Times New Roman"/>
          <w:sz w:val="24"/>
          <w:szCs w:val="24"/>
        </w:rPr>
        <w:t xml:space="preserve">Blood Reviews. 2006 [acceso: 02/11/2021]; 20: 245 – 266. Disponible en: </w:t>
      </w:r>
      <w:hyperlink r:id="rId21">
        <w:r w:rsidRPr="002C26FE">
          <w:rPr>
            <w:rStyle w:val="EnlacedeInternet"/>
            <w:rFonts w:ascii="Times New Roman" w:hAnsi="Times New Roman" w:cs="Times New Roman"/>
            <w:color w:val="1F497D" w:themeColor="text2"/>
            <w:sz w:val="24"/>
            <w:szCs w:val="24"/>
          </w:rPr>
          <w:t>https://doi.org/10.1016/j.blre.2006.01.003</w:t>
        </w:r>
      </w:hyperlink>
    </w:p>
    <w:p w14:paraId="1120E605" w14:textId="77777777" w:rsidR="007E4EBD" w:rsidRPr="002C26FE" w:rsidRDefault="0044731E" w:rsidP="007E4EBD">
      <w:pPr>
        <w:spacing w:after="0" w:line="360" w:lineRule="auto"/>
        <w:rPr>
          <w:rFonts w:ascii="Times New Roman" w:hAnsi="Times New Roman" w:cs="Times New Roman"/>
          <w:sz w:val="24"/>
          <w:szCs w:val="24"/>
        </w:rPr>
      </w:pPr>
      <w:hyperlink r:id="rId22">
        <w:r w:rsidR="007E4EBD" w:rsidRPr="002C26FE">
          <w:rPr>
            <w:rFonts w:ascii="Times New Roman" w:hAnsi="Times New Roman" w:cs="Times New Roman"/>
            <w:sz w:val="24"/>
            <w:szCs w:val="24"/>
          </w:rPr>
          <w:t xml:space="preserve">10. Revenga Martínez M, Morán-Álvarez P, Arroyo Palomo J, Valero Expósito M, Vázquez Díaz M. Artritis reumatoide. Medicine. 2021 [acceso: 02/11/2021];  13(30): 1669 – 1680. Disponible en: </w:t>
        </w:r>
      </w:hyperlink>
      <w:hyperlink r:id="rId23">
        <w:r w:rsidR="007E4EBD" w:rsidRPr="002C26FE">
          <w:rPr>
            <w:rStyle w:val="EnlacedeInternet"/>
            <w:rFonts w:ascii="Times New Roman" w:hAnsi="Times New Roman" w:cs="Times New Roman"/>
            <w:sz w:val="24"/>
            <w:szCs w:val="24"/>
          </w:rPr>
          <w:t>https://doi.org/10.1016/j.med.2021.03.027</w:t>
        </w:r>
      </w:hyperlink>
    </w:p>
    <w:p w14:paraId="3624F561"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11. Gallardo Perez DE. Manifestaciones extraarticulares de Artritis Reumatoide. [Tesis de culminación de estudios médico]. Cuenca, Ecuador: Universidad Católica de Cuenca</w:t>
      </w:r>
      <w:r>
        <w:rPr>
          <w:rFonts w:ascii="Times New Roman" w:hAnsi="Times New Roman" w:cs="Times New Roman"/>
          <w:sz w:val="24"/>
          <w:szCs w:val="24"/>
        </w:rPr>
        <w:t>,</w:t>
      </w:r>
      <w:r w:rsidRPr="002C26FE">
        <w:rPr>
          <w:rFonts w:ascii="Times New Roman" w:hAnsi="Times New Roman" w:cs="Times New Roman"/>
          <w:sz w:val="24"/>
          <w:szCs w:val="24"/>
        </w:rPr>
        <w:t xml:space="preserve"> Unidad Académica Salud y Bienestar</w:t>
      </w:r>
      <w:r>
        <w:rPr>
          <w:rFonts w:ascii="Times New Roman" w:hAnsi="Times New Roman" w:cs="Times New Roman"/>
          <w:sz w:val="24"/>
          <w:szCs w:val="24"/>
        </w:rPr>
        <w:t>,</w:t>
      </w:r>
      <w:r w:rsidRPr="002C26FE">
        <w:rPr>
          <w:rFonts w:ascii="Times New Roman" w:hAnsi="Times New Roman" w:cs="Times New Roman"/>
          <w:sz w:val="24"/>
          <w:szCs w:val="24"/>
        </w:rPr>
        <w:t xml:space="preserve"> Carrera de Medicina</w:t>
      </w:r>
      <w:r>
        <w:rPr>
          <w:rFonts w:ascii="Times New Roman" w:hAnsi="Times New Roman" w:cs="Times New Roman"/>
          <w:sz w:val="24"/>
          <w:szCs w:val="24"/>
        </w:rPr>
        <w:t>;</w:t>
      </w:r>
      <w:r w:rsidRPr="002C26FE">
        <w:rPr>
          <w:rFonts w:ascii="Times New Roman" w:hAnsi="Times New Roman" w:cs="Times New Roman"/>
          <w:sz w:val="24"/>
          <w:szCs w:val="24"/>
        </w:rPr>
        <w:t xml:space="preserve"> 2020</w:t>
      </w:r>
      <w:r>
        <w:rPr>
          <w:rFonts w:ascii="Times New Roman" w:hAnsi="Times New Roman" w:cs="Times New Roman"/>
          <w:sz w:val="24"/>
          <w:szCs w:val="24"/>
        </w:rPr>
        <w:t>.</w:t>
      </w:r>
      <w:r w:rsidRPr="002C26FE">
        <w:rPr>
          <w:rFonts w:ascii="Times New Roman" w:hAnsi="Times New Roman" w:cs="Times New Roman"/>
          <w:sz w:val="24"/>
          <w:szCs w:val="24"/>
        </w:rPr>
        <w:t xml:space="preserve"> [acceso: 02/11/2021]. Disponible en: </w:t>
      </w:r>
      <w:hyperlink r:id="rId24">
        <w:r w:rsidRPr="002C26FE">
          <w:rPr>
            <w:rStyle w:val="EnlacedeInternet"/>
            <w:rFonts w:ascii="Times New Roman" w:hAnsi="Times New Roman" w:cs="Times New Roman"/>
            <w:sz w:val="24"/>
            <w:szCs w:val="24"/>
          </w:rPr>
          <w:t>https://dspace.ucacue.edu.ec/bitstream/ucacue/8500/1/9BT2020-MTI081-DENISSE%20ESTEFANIA%20GALLARDO%20P%c3%89REZ.pdf</w:t>
        </w:r>
      </w:hyperlink>
    </w:p>
    <w:p w14:paraId="42E6607B"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12. Fuertes Fuertes R. Impacto del estado nutricional en el pronóstico del paciente séptico. [Trabajo de Fin De Grado]. Valladolid, España: Universidad de Valladolid</w:t>
      </w:r>
      <w:r>
        <w:rPr>
          <w:rFonts w:ascii="Times New Roman" w:hAnsi="Times New Roman" w:cs="Times New Roman"/>
          <w:sz w:val="24"/>
          <w:szCs w:val="24"/>
        </w:rPr>
        <w:t>,</w:t>
      </w:r>
      <w:r w:rsidRPr="002C26FE">
        <w:rPr>
          <w:rFonts w:ascii="Times New Roman" w:hAnsi="Times New Roman" w:cs="Times New Roman"/>
          <w:sz w:val="24"/>
          <w:szCs w:val="24"/>
        </w:rPr>
        <w:t xml:space="preserve"> Facultad de Medicina</w:t>
      </w:r>
      <w:r>
        <w:rPr>
          <w:rFonts w:ascii="Times New Roman" w:hAnsi="Times New Roman" w:cs="Times New Roman"/>
          <w:sz w:val="24"/>
          <w:szCs w:val="24"/>
        </w:rPr>
        <w:t>;</w:t>
      </w:r>
      <w:r w:rsidRPr="002C26FE">
        <w:rPr>
          <w:rFonts w:ascii="Times New Roman" w:hAnsi="Times New Roman" w:cs="Times New Roman"/>
          <w:sz w:val="24"/>
          <w:szCs w:val="24"/>
        </w:rPr>
        <w:t xml:space="preserve"> 2020</w:t>
      </w:r>
      <w:r>
        <w:rPr>
          <w:rFonts w:ascii="Times New Roman" w:hAnsi="Times New Roman" w:cs="Times New Roman"/>
          <w:sz w:val="24"/>
          <w:szCs w:val="24"/>
        </w:rPr>
        <w:t>.</w:t>
      </w:r>
      <w:r w:rsidRPr="002C26FE">
        <w:rPr>
          <w:rFonts w:ascii="Times New Roman" w:hAnsi="Times New Roman" w:cs="Times New Roman"/>
          <w:sz w:val="24"/>
          <w:szCs w:val="24"/>
        </w:rPr>
        <w:t xml:space="preserve"> [acceso: 06/11/2021]. Disponible en: </w:t>
      </w:r>
      <w:hyperlink r:id="rId25">
        <w:r w:rsidRPr="002C26FE">
          <w:rPr>
            <w:rStyle w:val="EnlacedeInternet"/>
            <w:rFonts w:ascii="Times New Roman" w:hAnsi="Times New Roman" w:cs="Times New Roman"/>
            <w:sz w:val="24"/>
            <w:szCs w:val="24"/>
          </w:rPr>
          <w:t>https://uvadoc.uva.es/bitstream/handle/10324/41593/TFG-M-M1759%20%282%29.pdf?sequence=1&amp;isAllowed=y</w:t>
        </w:r>
      </w:hyperlink>
    </w:p>
    <w:p w14:paraId="1B102B26"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 xml:space="preserve">13. Carrillo Esper R, Rivera Buendía S, Carrillo Córdova JR, Carrillo Córdova LD. Estatinas, ¿alternativa terapéutica en sepsis? Gac Méd Méx. 2007 [acceso: 06/11/2021]; 143 (6): 499 – 503. Disponible en: </w:t>
      </w:r>
      <w:hyperlink r:id="rId26">
        <w:r w:rsidRPr="002C26FE">
          <w:rPr>
            <w:rStyle w:val="EnlacedeInternet"/>
            <w:rFonts w:ascii="Times New Roman" w:hAnsi="Times New Roman" w:cs="Times New Roman"/>
            <w:sz w:val="24"/>
            <w:szCs w:val="24"/>
          </w:rPr>
          <w:t>https://www.medigraphic.com/pdfs/gaceta/gm-2007/gm076g.pdf</w:t>
        </w:r>
      </w:hyperlink>
    </w:p>
    <w:p w14:paraId="565409D3" w14:textId="77777777" w:rsidR="007E4EBD" w:rsidRPr="002C26FE" w:rsidRDefault="007E4EBD" w:rsidP="007E4EBD">
      <w:pPr>
        <w:spacing w:after="0" w:line="360" w:lineRule="auto"/>
        <w:rPr>
          <w:rFonts w:ascii="Times New Roman" w:hAnsi="Times New Roman" w:cs="Times New Roman"/>
          <w:sz w:val="24"/>
          <w:szCs w:val="24"/>
        </w:rPr>
      </w:pPr>
      <w:r w:rsidRPr="002C26FE">
        <w:rPr>
          <w:rFonts w:ascii="Times New Roman" w:hAnsi="Times New Roman" w:cs="Times New Roman"/>
          <w:sz w:val="24"/>
          <w:szCs w:val="24"/>
        </w:rPr>
        <w:t xml:space="preserve">14. Porta Díaz M, Salvato Dueñas A, Alvaré Alvaré L, Melo Victores M, Lobato Pastrana D, González Concepción I. Estrategias de tromboprofilaxis y anticoagulación en pacientes pediátricos con COVID-19. Invest. Medicoquir. 2021 [acceso: 06/11/2021]; 13 (2): [aprox. 14 pant.]. Disponible en: </w:t>
      </w:r>
      <w:hyperlink r:id="rId27">
        <w:r w:rsidRPr="002C26FE">
          <w:rPr>
            <w:rStyle w:val="EnlacedeInternet"/>
            <w:rFonts w:ascii="Times New Roman" w:hAnsi="Times New Roman" w:cs="Times New Roman"/>
            <w:sz w:val="24"/>
            <w:szCs w:val="24"/>
          </w:rPr>
          <w:t>http://revcimeq.sld.cu/index.php/imq/article/view/714/746</w:t>
        </w:r>
      </w:hyperlink>
    </w:p>
    <w:p w14:paraId="7109C641" w14:textId="77777777" w:rsidR="007E4EBD" w:rsidRPr="002C26FE" w:rsidRDefault="007E4EBD" w:rsidP="007E4EBD">
      <w:pPr>
        <w:spacing w:after="0" w:line="360" w:lineRule="auto"/>
        <w:jc w:val="both"/>
        <w:rPr>
          <w:rFonts w:ascii="Times New Roman" w:hAnsi="Times New Roman" w:cs="Times New Roman"/>
          <w:sz w:val="24"/>
          <w:szCs w:val="24"/>
        </w:rPr>
      </w:pPr>
    </w:p>
    <w:p w14:paraId="1F07AD51" w14:textId="77777777" w:rsidR="007E4EBD" w:rsidRDefault="007E4EBD" w:rsidP="007E4EBD">
      <w:pPr>
        <w:spacing w:after="0" w:line="360" w:lineRule="auto"/>
        <w:jc w:val="both"/>
        <w:rPr>
          <w:rFonts w:ascii="Times New Roman" w:hAnsi="Times New Roman" w:cs="Times New Roman"/>
          <w:sz w:val="24"/>
          <w:szCs w:val="24"/>
        </w:rPr>
      </w:pPr>
    </w:p>
    <w:p w14:paraId="0490C017" w14:textId="77777777" w:rsidR="007E4EBD" w:rsidRPr="00AC70C9" w:rsidRDefault="007E4EBD" w:rsidP="007E4EBD">
      <w:pPr>
        <w:spacing w:after="0" w:line="360" w:lineRule="auto"/>
        <w:jc w:val="center"/>
        <w:rPr>
          <w:rFonts w:ascii="Times New Roman" w:hAnsi="Times New Roman" w:cs="Times New Roman"/>
          <w:b/>
          <w:sz w:val="24"/>
          <w:szCs w:val="24"/>
        </w:rPr>
      </w:pPr>
      <w:r w:rsidRPr="00AC70C9">
        <w:rPr>
          <w:rFonts w:ascii="Times New Roman" w:hAnsi="Times New Roman" w:cs="Times New Roman"/>
          <w:b/>
          <w:sz w:val="24"/>
          <w:szCs w:val="24"/>
        </w:rPr>
        <w:t>Conflictos de interés</w:t>
      </w:r>
    </w:p>
    <w:p w14:paraId="090E8CA2" w14:textId="48157E27" w:rsidR="00675476" w:rsidRPr="003C63EA" w:rsidRDefault="007E4EBD" w:rsidP="003C63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autores plantean que no </w:t>
      </w:r>
      <w:r w:rsidRPr="002C26FE">
        <w:rPr>
          <w:rFonts w:ascii="Times New Roman" w:hAnsi="Times New Roman" w:cs="Times New Roman"/>
          <w:sz w:val="24"/>
          <w:szCs w:val="24"/>
        </w:rPr>
        <w:t xml:space="preserve">existen </w:t>
      </w:r>
      <w:r>
        <w:rPr>
          <w:rFonts w:ascii="Times New Roman" w:hAnsi="Times New Roman" w:cs="Times New Roman"/>
          <w:sz w:val="24"/>
          <w:szCs w:val="24"/>
        </w:rPr>
        <w:t>conflictos de interés.</w:t>
      </w:r>
    </w:p>
    <w:sectPr w:rsidR="00675476" w:rsidRPr="003C63EA"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79E" w14:textId="77777777" w:rsidR="0044731E" w:rsidRDefault="0044731E">
      <w:r>
        <w:separator/>
      </w:r>
    </w:p>
  </w:endnote>
  <w:endnote w:type="continuationSeparator" w:id="0">
    <w:p w14:paraId="3A60ADB5" w14:textId="77777777" w:rsidR="0044731E" w:rsidRDefault="0044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13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51F0F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40AC"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55B3ABBC" wp14:editId="1C349CB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AF6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A7DD1B7" w14:textId="77777777" w:rsidR="00675476" w:rsidRPr="00AE044C" w:rsidRDefault="0044731E" w:rsidP="00391509">
    <w:pPr>
      <w:pStyle w:val="Piedepgina"/>
      <w:ind w:right="360"/>
      <w:rPr>
        <w:sz w:val="22"/>
        <w:szCs w:val="22"/>
      </w:rPr>
    </w:pPr>
    <w:hyperlink r:id="rId1" w:history="1">
      <w:r w:rsidR="00391509" w:rsidRPr="00AE044C">
        <w:rPr>
          <w:rStyle w:val="Hipervnculo"/>
          <w:sz w:val="22"/>
          <w:szCs w:val="22"/>
        </w:rPr>
        <w:t>http://scielo.sld.cu</w:t>
      </w:r>
    </w:hyperlink>
  </w:p>
  <w:p w14:paraId="07E31B0C" w14:textId="77777777" w:rsidR="00391509" w:rsidRPr="00AE044C" w:rsidRDefault="0044731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E914C5D"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130E0E53" wp14:editId="1D482F4A">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02CE" w14:textId="77777777" w:rsidR="0044731E" w:rsidRDefault="0044731E">
      <w:r>
        <w:separator/>
      </w:r>
    </w:p>
  </w:footnote>
  <w:footnote w:type="continuationSeparator" w:id="0">
    <w:p w14:paraId="7C746BC4" w14:textId="77777777" w:rsidR="0044731E" w:rsidRDefault="0044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4B83" w14:textId="4FFAFF99" w:rsidR="00CC376A" w:rsidRPr="00AE044C" w:rsidRDefault="00916E4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e02201728</w:t>
    </w:r>
    <w:r w:rsidR="007D2D0C" w:rsidRPr="007D2D0C">
      <w:rPr>
        <w:b/>
        <w:noProof/>
        <w:color w:val="00FFFF"/>
        <w:sz w:val="22"/>
        <w:szCs w:val="22"/>
        <w:lang w:eastAsia="en-US"/>
      </w:rPr>
      <w:t xml:space="preserve"> </w:t>
    </w:r>
    <w:r w:rsidR="007D2D0C">
      <w:rPr>
        <w:b/>
        <w:noProof/>
        <w:color w:val="00FFFF"/>
        <w:sz w:val="22"/>
        <w:szCs w:val="22"/>
        <w:lang w:val="es-ES" w:eastAsia="es-ES"/>
      </w:rPr>
      <w:drawing>
        <wp:anchor distT="0" distB="0" distL="114300" distR="114300" simplePos="0" relativeHeight="251685888" behindDoc="1" locked="0" layoutInCell="1" allowOverlap="1" wp14:anchorId="0A76B4B4" wp14:editId="61C384B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084B4F6"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04A3CA64" wp14:editId="24C7B34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108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BD"/>
    <w:rsid w:val="00057F45"/>
    <w:rsid w:val="00075013"/>
    <w:rsid w:val="000D3958"/>
    <w:rsid w:val="000F3690"/>
    <w:rsid w:val="001221D1"/>
    <w:rsid w:val="00165CB5"/>
    <w:rsid w:val="00180CE9"/>
    <w:rsid w:val="001825DF"/>
    <w:rsid w:val="00230DD5"/>
    <w:rsid w:val="00250AE9"/>
    <w:rsid w:val="00380D64"/>
    <w:rsid w:val="00391509"/>
    <w:rsid w:val="003C63EA"/>
    <w:rsid w:val="003E03D5"/>
    <w:rsid w:val="0044731E"/>
    <w:rsid w:val="00486BFA"/>
    <w:rsid w:val="00493701"/>
    <w:rsid w:val="004E2065"/>
    <w:rsid w:val="005508A2"/>
    <w:rsid w:val="0055115D"/>
    <w:rsid w:val="005661BD"/>
    <w:rsid w:val="00566F71"/>
    <w:rsid w:val="005918BD"/>
    <w:rsid w:val="006173A6"/>
    <w:rsid w:val="00675476"/>
    <w:rsid w:val="007801CE"/>
    <w:rsid w:val="007C430F"/>
    <w:rsid w:val="007D2D0C"/>
    <w:rsid w:val="007D614D"/>
    <w:rsid w:val="007E4EBD"/>
    <w:rsid w:val="00916E4C"/>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2D0D"/>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F945F"/>
  <w15:docId w15:val="{EFFB78DA-501E-4DF6-85E3-6F8C031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EBD"/>
    <w:pPr>
      <w:suppressAutoHyphens/>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uppressAutoHyphens w:val="0"/>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uppressAutoHyphens w:val="0"/>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uppressAutoHyphens w:val="0"/>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uppressAutoHyphens w:val="0"/>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uppressAutoHyphens w:val="0"/>
      <w:spacing w:after="0" w:line="360" w:lineRule="auto"/>
    </w:pPr>
    <w:rPr>
      <w:rFonts w:ascii="Times New Roman" w:eastAsia="Times New Roman" w:hAnsi="Times New Roman" w:cs="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EnlacedeInternet">
    <w:name w:val="Enlace de Internet"/>
    <w:basedOn w:val="Fuentedeprrafopredeter"/>
    <w:uiPriority w:val="99"/>
    <w:unhideWhenUsed/>
    <w:rsid w:val="007E4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317-7445" TargetMode="External"/><Relationship Id="rId13" Type="http://schemas.openxmlformats.org/officeDocument/2006/relationships/hyperlink" Target="https://dx.doi.org/10.7759/cureus.4079" TargetMode="External"/><Relationship Id="rId18" Type="http://schemas.openxmlformats.org/officeDocument/2006/relationships/hyperlink" Target="https://www.ncbi.nlm.nih.gov/pmc/articles/PMC5042221/pdf/ejr-1-3-120.pdf" TargetMode="External"/><Relationship Id="rId26" Type="http://schemas.openxmlformats.org/officeDocument/2006/relationships/hyperlink" Target="https://www.medigraphic.com/pdfs/gaceta/gm-2007/gm076g.pdf" TargetMode="External"/><Relationship Id="rId3" Type="http://schemas.openxmlformats.org/officeDocument/2006/relationships/settings" Target="settings.xml"/><Relationship Id="rId21" Type="http://schemas.openxmlformats.org/officeDocument/2006/relationships/hyperlink" Target="https://doi.org/10.1016/j.blre.2006.01.003%2010." TargetMode="External"/><Relationship Id="rId7" Type="http://schemas.openxmlformats.org/officeDocument/2006/relationships/hyperlink" Target="https://orcid.org/0000-0002-7184-621X" TargetMode="External"/><Relationship Id="rId12" Type="http://schemas.openxmlformats.org/officeDocument/2006/relationships/image" Target="media/image2.jpeg"/><Relationship Id="rId17" Type="http://schemas.openxmlformats.org/officeDocument/2006/relationships/hyperlink" Target="http://contenido.acronline.org/Publicaciones/RCR/RCR31-4/RCR-31-4-03_Manifestaciones.pdf" TargetMode="External"/><Relationship Id="rId25" Type="http://schemas.openxmlformats.org/officeDocument/2006/relationships/hyperlink" Target="https://uvadoc.uva.es/bitstream/handle/10324/41593/TFG-M-M1759%20(2).pdf?sequence=1&amp;isAllowed=y" TargetMode="External"/><Relationship Id="rId2" Type="http://schemas.openxmlformats.org/officeDocument/2006/relationships/styles" Target="styles.xml"/><Relationship Id="rId16" Type="http://schemas.openxmlformats.org/officeDocument/2006/relationships/hyperlink" Target="https://doi.org/10.1016/S0007-117X(79)80043-8" TargetMode="External"/><Relationship Id="rId20" Type="http://schemas.openxmlformats.org/officeDocument/2006/relationships/hyperlink" Target="https://scholarlycommons.hcahealthcare.com/cgi/viewcontent.cgi?article=1023&amp;context=internal-medic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dspace.ucacue.edu.ec/bitstream/ucacue/8500/1/9BT2020-MTI081-DENISSE%20ESTEFANIA%20GALLARDO%20P&#201;REZ.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x.doi.org/10.1097/RHU.0000000000000906" TargetMode="External"/><Relationship Id="rId23" Type="http://schemas.openxmlformats.org/officeDocument/2006/relationships/hyperlink" Target="https://doi.org/10.1016/j.med.2021.03.027" TargetMode="External"/><Relationship Id="rId28" Type="http://schemas.openxmlformats.org/officeDocument/2006/relationships/header" Target="header1.xml"/><Relationship Id="rId10" Type="http://schemas.openxmlformats.org/officeDocument/2006/relationships/hyperlink" Target="mailto:luisfong87@nauta.cu" TargetMode="External"/><Relationship Id="rId19" Type="http://schemas.openxmlformats.org/officeDocument/2006/relationships/hyperlink" Target="https://dx.doi.org/10.1097/DAD.00000000000013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3289-9463" TargetMode="External"/><Relationship Id="rId14" Type="http://schemas.openxmlformats.org/officeDocument/2006/relationships/hyperlink" Target="http://dx.doi.org/10.1097/MD.0000000000023608" TargetMode="External"/><Relationship Id="rId22" Type="http://schemas.openxmlformats.org/officeDocument/2006/relationships/hyperlink" Target="https://doi.org/10.1016/j.blre.2006.01.003%2010." TargetMode="External"/><Relationship Id="rId27" Type="http://schemas.openxmlformats.org/officeDocument/2006/relationships/hyperlink" Target="http://revcimeq.sld.cu/index.php/imq/article/view/714/746"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8</Pages>
  <Words>2421</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15709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8</cp:revision>
  <cp:lastPrinted>2010-09-13T21:29:00Z</cp:lastPrinted>
  <dcterms:created xsi:type="dcterms:W3CDTF">2022-03-07T22:55:00Z</dcterms:created>
  <dcterms:modified xsi:type="dcterms:W3CDTF">2022-04-02T19:22:00Z</dcterms:modified>
</cp:coreProperties>
</file>