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E5FF0" w14:textId="77777777" w:rsidR="007E4EBD" w:rsidRPr="002C26FE" w:rsidRDefault="007E4EBD" w:rsidP="007E4EBD">
      <w:pPr>
        <w:spacing w:after="0" w:line="360" w:lineRule="auto"/>
        <w:jc w:val="right"/>
        <w:rPr>
          <w:rFonts w:ascii="Times New Roman" w:hAnsi="Times New Roman" w:cs="Times New Roman"/>
          <w:sz w:val="20"/>
          <w:szCs w:val="20"/>
        </w:rPr>
      </w:pPr>
      <w:r w:rsidRPr="002C26FE">
        <w:rPr>
          <w:rFonts w:ascii="Times New Roman" w:hAnsi="Times New Roman" w:cs="Times New Roman"/>
          <w:sz w:val="20"/>
          <w:szCs w:val="20"/>
        </w:rPr>
        <w:t>Presentación de caso</w:t>
      </w:r>
    </w:p>
    <w:p w14:paraId="42831DA1" w14:textId="77777777" w:rsidR="007E4EBD" w:rsidRDefault="007E4EBD" w:rsidP="007E4EBD">
      <w:pPr>
        <w:spacing w:after="0" w:line="360" w:lineRule="auto"/>
        <w:jc w:val="center"/>
        <w:rPr>
          <w:rFonts w:ascii="Times New Roman" w:hAnsi="Times New Roman" w:cs="Times New Roman"/>
          <w:b/>
          <w:sz w:val="24"/>
          <w:szCs w:val="24"/>
        </w:rPr>
      </w:pPr>
    </w:p>
    <w:p w14:paraId="3B14801B" w14:textId="77777777" w:rsidR="007E4EBD" w:rsidRPr="002C26FE" w:rsidRDefault="007E4EBD" w:rsidP="007E4EBD">
      <w:pPr>
        <w:spacing w:after="0" w:line="360" w:lineRule="auto"/>
        <w:jc w:val="center"/>
        <w:rPr>
          <w:rFonts w:ascii="Times New Roman" w:hAnsi="Times New Roman" w:cs="Times New Roman"/>
          <w:b/>
          <w:sz w:val="28"/>
          <w:szCs w:val="28"/>
        </w:rPr>
      </w:pPr>
      <w:r w:rsidRPr="002C26FE">
        <w:rPr>
          <w:rFonts w:ascii="Times New Roman" w:hAnsi="Times New Roman" w:cs="Times New Roman"/>
          <w:b/>
          <w:sz w:val="28"/>
          <w:szCs w:val="28"/>
        </w:rPr>
        <w:t>Síndrome de Felty</w:t>
      </w:r>
    </w:p>
    <w:p w14:paraId="1C837263" w14:textId="77777777" w:rsidR="007E4EBD" w:rsidRPr="00CE5B08" w:rsidRDefault="007E4EBD" w:rsidP="007E4EBD">
      <w:pPr>
        <w:spacing w:after="0" w:line="360" w:lineRule="auto"/>
        <w:jc w:val="center"/>
        <w:rPr>
          <w:rFonts w:ascii="Times New Roman" w:hAnsi="Times New Roman" w:cs="Times New Roman"/>
          <w:sz w:val="24"/>
          <w:szCs w:val="24"/>
        </w:rPr>
      </w:pPr>
      <w:r w:rsidRPr="00CE5B08">
        <w:rPr>
          <w:rFonts w:ascii="Times New Roman" w:hAnsi="Times New Roman" w:cs="Times New Roman"/>
          <w:sz w:val="28"/>
          <w:szCs w:val="28"/>
        </w:rPr>
        <w:t>Felty’s syndrome</w:t>
      </w:r>
    </w:p>
    <w:p w14:paraId="79C80CFD" w14:textId="77777777" w:rsidR="007E4EBD" w:rsidRPr="00CE5B08" w:rsidRDefault="007E4EBD" w:rsidP="007E4EBD">
      <w:pPr>
        <w:spacing w:after="0" w:line="360" w:lineRule="auto"/>
        <w:rPr>
          <w:rFonts w:ascii="Times New Roman" w:hAnsi="Times New Roman" w:cs="Times New Roman"/>
          <w:sz w:val="24"/>
          <w:szCs w:val="24"/>
        </w:rPr>
      </w:pPr>
    </w:p>
    <w:p w14:paraId="0AA73BA0" w14:textId="77777777" w:rsidR="007E4EBD" w:rsidRPr="002C26FE" w:rsidRDefault="007E4EBD" w:rsidP="007E4EBD">
      <w:pPr>
        <w:spacing w:after="0" w:line="360" w:lineRule="auto"/>
        <w:rPr>
          <w:rStyle w:val="Hipervnculo"/>
          <w:rFonts w:ascii="Times New Roman" w:hAnsi="Times New Roman" w:cs="Times New Roman"/>
          <w:sz w:val="24"/>
          <w:szCs w:val="24"/>
          <w:shd w:val="clear" w:color="auto" w:fill="FFFFFF"/>
        </w:rPr>
      </w:pPr>
      <w:r w:rsidRPr="002C26FE">
        <w:rPr>
          <w:rFonts w:ascii="Times New Roman" w:hAnsi="Times New Roman" w:cs="Times New Roman"/>
          <w:sz w:val="24"/>
          <w:szCs w:val="24"/>
        </w:rPr>
        <w:t>Luis Fong Pantoja</w:t>
      </w:r>
      <w:r w:rsidRPr="002C26FE">
        <w:rPr>
          <w:rFonts w:ascii="Times New Roman" w:hAnsi="Times New Roman" w:cs="Times New Roman"/>
          <w:sz w:val="24"/>
          <w:szCs w:val="24"/>
          <w:vertAlign w:val="superscript"/>
        </w:rPr>
        <w:t>1</w:t>
      </w:r>
      <w:r w:rsidRPr="002C26FE">
        <w:rPr>
          <w:rFonts w:ascii="Times New Roman" w:hAnsi="Times New Roman" w:cs="Times New Roman"/>
          <w:sz w:val="24"/>
          <w:szCs w:val="24"/>
        </w:rPr>
        <w:t>*</w:t>
      </w:r>
      <w:r>
        <w:rPr>
          <w:rFonts w:ascii="Times New Roman" w:hAnsi="Times New Roman" w:cs="Times New Roman"/>
          <w:sz w:val="24"/>
          <w:szCs w:val="24"/>
        </w:rPr>
        <w:t xml:space="preserve"> </w:t>
      </w:r>
      <w:hyperlink r:id="rId7" w:history="1">
        <w:r w:rsidRPr="00D949A3">
          <w:rPr>
            <w:rStyle w:val="Hipervnculo"/>
            <w:rFonts w:ascii="Times New Roman" w:hAnsi="Times New Roman" w:cs="Times New Roman"/>
            <w:sz w:val="24"/>
            <w:szCs w:val="24"/>
            <w:shd w:val="clear" w:color="auto" w:fill="FFFFFF"/>
          </w:rPr>
          <w:t>https://orcid.org/0000-0002-7184-621X</w:t>
        </w:r>
      </w:hyperlink>
    </w:p>
    <w:p w14:paraId="4CA72A63" w14:textId="77777777" w:rsidR="007E4EBD" w:rsidRPr="002C26FE" w:rsidRDefault="007E4EBD" w:rsidP="007E4EBD">
      <w:pPr>
        <w:spacing w:after="0" w:line="360" w:lineRule="auto"/>
        <w:rPr>
          <w:rStyle w:val="Hipervnculo"/>
          <w:rFonts w:ascii="Times New Roman" w:hAnsi="Times New Roman" w:cs="Times New Roman"/>
          <w:sz w:val="24"/>
          <w:szCs w:val="24"/>
          <w:shd w:val="clear" w:color="auto" w:fill="FFFFFF"/>
        </w:rPr>
      </w:pPr>
      <w:r w:rsidRPr="005661BD">
        <w:rPr>
          <w:rStyle w:val="Hipervnculo"/>
          <w:rFonts w:ascii="Times New Roman" w:hAnsi="Times New Roman" w:cs="Times New Roman"/>
          <w:color w:val="auto"/>
          <w:sz w:val="24"/>
          <w:szCs w:val="24"/>
          <w:u w:val="none"/>
          <w:shd w:val="clear" w:color="auto" w:fill="FFFFFF"/>
        </w:rPr>
        <w:t>Leordanys Domínguez Sánchez</w:t>
      </w:r>
      <w:r w:rsidRPr="005661BD">
        <w:rPr>
          <w:rStyle w:val="Hipervnculo"/>
          <w:rFonts w:ascii="Times New Roman" w:hAnsi="Times New Roman" w:cs="Times New Roman"/>
          <w:color w:val="auto"/>
          <w:sz w:val="24"/>
          <w:szCs w:val="24"/>
          <w:u w:val="none"/>
          <w:shd w:val="clear" w:color="auto" w:fill="FFFFFF"/>
          <w:vertAlign w:val="superscript"/>
        </w:rPr>
        <w:t>1</w:t>
      </w:r>
      <w:r w:rsidRPr="002C26FE">
        <w:rPr>
          <w:rStyle w:val="Hipervnculo"/>
          <w:rFonts w:ascii="Times New Roman" w:hAnsi="Times New Roman" w:cs="Times New Roman"/>
          <w:sz w:val="24"/>
          <w:szCs w:val="24"/>
          <w:shd w:val="clear" w:color="auto" w:fill="FFFFFF"/>
        </w:rPr>
        <w:t xml:space="preserve"> </w:t>
      </w:r>
      <w:hyperlink r:id="rId8" w:history="1">
        <w:r w:rsidRPr="002C26FE">
          <w:rPr>
            <w:rStyle w:val="Hipervnculo"/>
            <w:rFonts w:ascii="Times New Roman" w:hAnsi="Times New Roman" w:cs="Times New Roman"/>
            <w:sz w:val="24"/>
            <w:szCs w:val="24"/>
            <w:shd w:val="clear" w:color="auto" w:fill="FFFFFF"/>
          </w:rPr>
          <w:t>https://orcid.org/0000-0003-0317-7445</w:t>
        </w:r>
      </w:hyperlink>
      <w:r w:rsidRPr="002C26FE">
        <w:rPr>
          <w:rStyle w:val="Hipervnculo"/>
          <w:rFonts w:ascii="Times New Roman" w:hAnsi="Times New Roman" w:cs="Times New Roman"/>
          <w:sz w:val="24"/>
          <w:szCs w:val="24"/>
          <w:shd w:val="clear" w:color="auto" w:fill="FFFFFF"/>
        </w:rPr>
        <w:t xml:space="preserve"> </w:t>
      </w:r>
    </w:p>
    <w:p w14:paraId="4411F9D2" w14:textId="77777777" w:rsidR="007E4EBD" w:rsidRPr="002C26FE" w:rsidRDefault="007E4EBD" w:rsidP="007E4EBD">
      <w:pPr>
        <w:spacing w:after="0" w:line="360" w:lineRule="auto"/>
        <w:rPr>
          <w:rFonts w:ascii="Times New Roman" w:hAnsi="Times New Roman" w:cs="Times New Roman"/>
          <w:sz w:val="24"/>
          <w:szCs w:val="24"/>
        </w:rPr>
      </w:pPr>
      <w:r w:rsidRPr="005661BD">
        <w:rPr>
          <w:rStyle w:val="Hipervnculo"/>
          <w:rFonts w:ascii="Times New Roman" w:hAnsi="Times New Roman" w:cs="Times New Roman"/>
          <w:color w:val="auto"/>
          <w:sz w:val="24"/>
          <w:szCs w:val="24"/>
          <w:u w:val="none"/>
          <w:shd w:val="clear" w:color="auto" w:fill="FFFFFF"/>
        </w:rPr>
        <w:t>José Alejandro Lora Pantoja</w:t>
      </w:r>
      <w:r w:rsidRPr="005661BD">
        <w:rPr>
          <w:rStyle w:val="Hipervnculo"/>
          <w:rFonts w:ascii="Times New Roman" w:hAnsi="Times New Roman" w:cs="Times New Roman"/>
          <w:color w:val="auto"/>
          <w:sz w:val="24"/>
          <w:szCs w:val="24"/>
          <w:u w:val="none"/>
          <w:shd w:val="clear" w:color="auto" w:fill="FFFFFF"/>
          <w:vertAlign w:val="superscript"/>
        </w:rPr>
        <w:t>1</w:t>
      </w:r>
      <w:r w:rsidRPr="005661BD">
        <w:rPr>
          <w:rFonts w:ascii="Times New Roman" w:hAnsi="Times New Roman" w:cs="Times New Roman"/>
          <w:sz w:val="24"/>
          <w:szCs w:val="24"/>
        </w:rPr>
        <w:t xml:space="preserve"> </w:t>
      </w:r>
      <w:hyperlink r:id="rId9" w:tgtFrame="_blank" w:history="1">
        <w:r w:rsidRPr="002C26FE">
          <w:rPr>
            <w:rStyle w:val="Hipervnculo"/>
            <w:rFonts w:ascii="Times New Roman" w:hAnsi="Times New Roman" w:cs="Times New Roman"/>
            <w:color w:val="1155CC"/>
            <w:sz w:val="24"/>
            <w:szCs w:val="24"/>
            <w:shd w:val="clear" w:color="auto" w:fill="FFFFFF"/>
          </w:rPr>
          <w:t>https://orcid.org/0000-0003-3289-9463</w:t>
        </w:r>
      </w:hyperlink>
      <w:r w:rsidRPr="002C26FE">
        <w:rPr>
          <w:rStyle w:val="Hipervnculo"/>
          <w:rFonts w:ascii="Times New Roman" w:hAnsi="Times New Roman" w:cs="Times New Roman"/>
          <w:color w:val="1155CC"/>
          <w:sz w:val="24"/>
          <w:szCs w:val="24"/>
          <w:shd w:val="clear" w:color="auto" w:fill="FFFFFF"/>
        </w:rPr>
        <w:t xml:space="preserve">  </w:t>
      </w:r>
    </w:p>
    <w:p w14:paraId="00A9CFAD" w14:textId="77777777" w:rsidR="007E4EBD" w:rsidRDefault="007E4EBD" w:rsidP="007E4EBD">
      <w:pPr>
        <w:spacing w:after="0" w:line="360" w:lineRule="auto"/>
        <w:rPr>
          <w:rFonts w:ascii="Times New Roman" w:hAnsi="Times New Roman" w:cs="Times New Roman"/>
          <w:sz w:val="24"/>
          <w:szCs w:val="24"/>
          <w:vertAlign w:val="superscript"/>
        </w:rPr>
      </w:pPr>
    </w:p>
    <w:p w14:paraId="0D90BFEC" w14:textId="77777777" w:rsidR="007E4EBD" w:rsidRPr="002C26FE" w:rsidRDefault="007E4EBD" w:rsidP="007E4EBD">
      <w:pPr>
        <w:spacing w:after="0" w:line="360" w:lineRule="auto"/>
        <w:rPr>
          <w:rFonts w:ascii="Times New Roman" w:hAnsi="Times New Roman" w:cs="Times New Roman"/>
          <w:sz w:val="24"/>
          <w:szCs w:val="24"/>
        </w:rPr>
      </w:pPr>
      <w:r w:rsidRPr="002C26FE">
        <w:rPr>
          <w:rFonts w:ascii="Times New Roman" w:hAnsi="Times New Roman" w:cs="Times New Roman"/>
          <w:sz w:val="24"/>
          <w:szCs w:val="24"/>
          <w:vertAlign w:val="superscript"/>
        </w:rPr>
        <w:t>1</w:t>
      </w:r>
      <w:r w:rsidRPr="002C26FE">
        <w:rPr>
          <w:rFonts w:ascii="Times New Roman" w:hAnsi="Times New Roman" w:cs="Times New Roman"/>
          <w:sz w:val="24"/>
          <w:szCs w:val="24"/>
        </w:rPr>
        <w:t>Hospital General Docente “Orlando Pantoja Tamayo”. Contramaestre, Santiago de Cuba, Cuba.</w:t>
      </w:r>
    </w:p>
    <w:p w14:paraId="051F6A53" w14:textId="77777777" w:rsidR="007E4EBD" w:rsidRDefault="007E4EBD" w:rsidP="007E4EBD">
      <w:pPr>
        <w:spacing w:after="0" w:line="360" w:lineRule="auto"/>
        <w:rPr>
          <w:rFonts w:ascii="Times New Roman" w:hAnsi="Times New Roman" w:cs="Times New Roman"/>
          <w:sz w:val="24"/>
          <w:szCs w:val="24"/>
        </w:rPr>
      </w:pPr>
    </w:p>
    <w:p w14:paraId="213EA9DD" w14:textId="77777777" w:rsidR="007E4EBD" w:rsidRPr="002C26FE" w:rsidRDefault="007E4EBD" w:rsidP="007E4EBD">
      <w:pPr>
        <w:spacing w:after="0" w:line="360" w:lineRule="auto"/>
        <w:rPr>
          <w:rFonts w:ascii="Times New Roman" w:hAnsi="Times New Roman" w:cs="Times New Roman"/>
          <w:sz w:val="24"/>
          <w:szCs w:val="24"/>
        </w:rPr>
      </w:pPr>
      <w:r w:rsidRPr="002C26FE">
        <w:rPr>
          <w:rFonts w:ascii="Times New Roman" w:hAnsi="Times New Roman" w:cs="Times New Roman"/>
          <w:sz w:val="24"/>
          <w:szCs w:val="24"/>
        </w:rPr>
        <w:t>*Autor p</w:t>
      </w:r>
      <w:r>
        <w:rPr>
          <w:rFonts w:ascii="Times New Roman" w:hAnsi="Times New Roman" w:cs="Times New Roman"/>
          <w:sz w:val="24"/>
          <w:szCs w:val="24"/>
        </w:rPr>
        <w:t>ara la</w:t>
      </w:r>
      <w:r w:rsidRPr="002C26FE">
        <w:rPr>
          <w:rFonts w:ascii="Times New Roman" w:hAnsi="Times New Roman" w:cs="Times New Roman"/>
          <w:sz w:val="24"/>
          <w:szCs w:val="24"/>
        </w:rPr>
        <w:t xml:space="preserve"> correspondencia. Correo electrónico: </w:t>
      </w:r>
      <w:hyperlink r:id="rId10" w:history="1">
        <w:r w:rsidRPr="002C26FE">
          <w:rPr>
            <w:rStyle w:val="Hipervnculo"/>
            <w:rFonts w:ascii="Times New Roman" w:hAnsi="Times New Roman" w:cs="Times New Roman"/>
            <w:sz w:val="24"/>
            <w:szCs w:val="24"/>
          </w:rPr>
          <w:t>luisfong87@nauta.cu</w:t>
        </w:r>
      </w:hyperlink>
    </w:p>
    <w:p w14:paraId="7C074BDA" w14:textId="77777777" w:rsidR="007E4EBD" w:rsidRPr="002C26FE" w:rsidRDefault="007E4EBD" w:rsidP="007E4EBD">
      <w:pPr>
        <w:spacing w:after="0" w:line="360" w:lineRule="auto"/>
        <w:rPr>
          <w:rFonts w:ascii="Times New Roman" w:hAnsi="Times New Roman" w:cs="Times New Roman"/>
          <w:b/>
          <w:sz w:val="24"/>
          <w:szCs w:val="24"/>
        </w:rPr>
      </w:pPr>
    </w:p>
    <w:p w14:paraId="3EF5D41B" w14:textId="77777777" w:rsidR="007E4EBD" w:rsidRPr="002C26FE" w:rsidRDefault="007E4EBD" w:rsidP="007E4EBD">
      <w:pPr>
        <w:spacing w:after="0" w:line="360" w:lineRule="auto"/>
        <w:rPr>
          <w:rFonts w:ascii="Times New Roman" w:hAnsi="Times New Roman" w:cs="Times New Roman"/>
          <w:b/>
          <w:sz w:val="24"/>
          <w:szCs w:val="24"/>
        </w:rPr>
      </w:pPr>
      <w:r w:rsidRPr="002C26FE">
        <w:rPr>
          <w:rFonts w:ascii="Times New Roman" w:hAnsi="Times New Roman" w:cs="Times New Roman"/>
          <w:b/>
          <w:sz w:val="24"/>
          <w:szCs w:val="24"/>
        </w:rPr>
        <w:t>RESUMEN</w:t>
      </w:r>
    </w:p>
    <w:p w14:paraId="77D6F33C" w14:textId="51249354" w:rsidR="007E4EBD" w:rsidRPr="002C26FE" w:rsidRDefault="007E4EBD" w:rsidP="007E4EBD">
      <w:pPr>
        <w:spacing w:after="0" w:line="360" w:lineRule="auto"/>
        <w:jc w:val="both"/>
        <w:rPr>
          <w:rFonts w:ascii="Times New Roman" w:hAnsi="Times New Roman" w:cs="Times New Roman"/>
          <w:b/>
          <w:sz w:val="24"/>
          <w:szCs w:val="24"/>
        </w:rPr>
      </w:pPr>
      <w:r w:rsidRPr="002C26FE">
        <w:rPr>
          <w:rFonts w:ascii="Times New Roman" w:hAnsi="Times New Roman" w:cs="Times New Roman"/>
          <w:b/>
          <w:sz w:val="24"/>
          <w:szCs w:val="24"/>
        </w:rPr>
        <w:t xml:space="preserve">Introducción: </w:t>
      </w:r>
      <w:r w:rsidRPr="002C26FE">
        <w:rPr>
          <w:rFonts w:ascii="Times New Roman" w:hAnsi="Times New Roman" w:cs="Times New Roman"/>
          <w:sz w:val="24"/>
          <w:szCs w:val="24"/>
        </w:rPr>
        <w:t>El síndrome de Felty es una rara complicación extraarticular de la artritis reumatoide, descrito por primera vez en 1924. Felty describió 5 pacientes que se caracterizaban por la presencia de una tríada clínica de artritis reumatoide</w:t>
      </w:r>
      <w:r>
        <w:rPr>
          <w:rFonts w:ascii="Times New Roman" w:hAnsi="Times New Roman" w:cs="Times New Roman"/>
          <w:sz w:val="24"/>
          <w:szCs w:val="24"/>
        </w:rPr>
        <w:t>,</w:t>
      </w:r>
      <w:r w:rsidRPr="002C26FE">
        <w:rPr>
          <w:rFonts w:ascii="Times New Roman" w:hAnsi="Times New Roman" w:cs="Times New Roman"/>
          <w:sz w:val="24"/>
          <w:szCs w:val="24"/>
        </w:rPr>
        <w:t xml:space="preserve"> esplenomegalia</w:t>
      </w:r>
      <w:r>
        <w:rPr>
          <w:rFonts w:ascii="Times New Roman" w:hAnsi="Times New Roman" w:cs="Times New Roman"/>
          <w:sz w:val="24"/>
          <w:szCs w:val="24"/>
        </w:rPr>
        <w:t xml:space="preserve"> </w:t>
      </w:r>
      <w:r w:rsidR="00FD2D0D">
        <w:rPr>
          <w:rFonts w:ascii="Times New Roman" w:hAnsi="Times New Roman" w:cs="Times New Roman"/>
          <w:sz w:val="24"/>
          <w:szCs w:val="24"/>
        </w:rPr>
        <w:t xml:space="preserve">y </w:t>
      </w:r>
      <w:r w:rsidR="00FD2D0D" w:rsidRPr="002C26FE">
        <w:rPr>
          <w:rFonts w:ascii="Times New Roman" w:hAnsi="Times New Roman" w:cs="Times New Roman"/>
          <w:sz w:val="24"/>
          <w:szCs w:val="24"/>
        </w:rPr>
        <w:t>neutropenia</w:t>
      </w:r>
      <w:r>
        <w:rPr>
          <w:rFonts w:ascii="Times New Roman" w:hAnsi="Times New Roman" w:cs="Times New Roman"/>
          <w:sz w:val="24"/>
          <w:szCs w:val="24"/>
        </w:rPr>
        <w:t>,</w:t>
      </w:r>
      <w:r w:rsidRPr="002C26FE">
        <w:rPr>
          <w:rFonts w:ascii="Times New Roman" w:hAnsi="Times New Roman" w:cs="Times New Roman"/>
          <w:sz w:val="24"/>
          <w:szCs w:val="24"/>
        </w:rPr>
        <w:t xml:space="preserve"> que aparece fundamentalmente en los pacientes con largos años de evolución de su enfermedad. Es una entidad clínica con alto grado de mortalidad, dado a que es poco diagnosticada y por tanto</w:t>
      </w:r>
      <w:r>
        <w:rPr>
          <w:rFonts w:ascii="Times New Roman" w:hAnsi="Times New Roman" w:cs="Times New Roman"/>
          <w:sz w:val="24"/>
          <w:szCs w:val="24"/>
        </w:rPr>
        <w:t>,</w:t>
      </w:r>
      <w:r w:rsidRPr="002C26FE">
        <w:rPr>
          <w:rFonts w:ascii="Times New Roman" w:hAnsi="Times New Roman" w:cs="Times New Roman"/>
          <w:sz w:val="24"/>
          <w:szCs w:val="24"/>
        </w:rPr>
        <w:t xml:space="preserve"> no tratada.</w:t>
      </w:r>
    </w:p>
    <w:p w14:paraId="0C3E466D" w14:textId="77777777" w:rsidR="007E4EBD" w:rsidRPr="002C26FE" w:rsidRDefault="007E4EBD" w:rsidP="007E4EBD">
      <w:pPr>
        <w:spacing w:after="0" w:line="360" w:lineRule="auto"/>
        <w:jc w:val="both"/>
        <w:rPr>
          <w:rFonts w:ascii="Times New Roman" w:hAnsi="Times New Roman" w:cs="Times New Roman"/>
          <w:sz w:val="24"/>
          <w:szCs w:val="24"/>
        </w:rPr>
      </w:pPr>
      <w:r w:rsidRPr="002C26FE">
        <w:rPr>
          <w:rFonts w:ascii="Times New Roman" w:hAnsi="Times New Roman" w:cs="Times New Roman"/>
          <w:b/>
          <w:sz w:val="24"/>
          <w:szCs w:val="24"/>
        </w:rPr>
        <w:t>Objetivo:</w:t>
      </w:r>
      <w:r w:rsidRPr="002C26FE">
        <w:rPr>
          <w:rFonts w:ascii="Times New Roman" w:hAnsi="Times New Roman" w:cs="Times New Roman"/>
          <w:sz w:val="24"/>
          <w:szCs w:val="24"/>
        </w:rPr>
        <w:t xml:space="preserve"> Presentar un paciente con síndrome de Felty, sus características clínicas y el procedimiento terapéutico empleado.</w:t>
      </w:r>
    </w:p>
    <w:p w14:paraId="4C20805D" w14:textId="77777777" w:rsidR="007E4EBD" w:rsidRPr="002C26FE" w:rsidRDefault="007E4EBD" w:rsidP="007E4EBD">
      <w:pPr>
        <w:spacing w:after="0" w:line="360" w:lineRule="auto"/>
        <w:jc w:val="both"/>
        <w:rPr>
          <w:rFonts w:ascii="Times New Roman" w:hAnsi="Times New Roman" w:cs="Times New Roman"/>
          <w:sz w:val="24"/>
          <w:szCs w:val="24"/>
        </w:rPr>
      </w:pPr>
      <w:r w:rsidRPr="002C26FE">
        <w:rPr>
          <w:rFonts w:ascii="Times New Roman" w:hAnsi="Times New Roman" w:cs="Times New Roman"/>
          <w:b/>
          <w:sz w:val="24"/>
          <w:szCs w:val="24"/>
        </w:rPr>
        <w:t xml:space="preserve">Caso clínico: </w:t>
      </w:r>
      <w:r w:rsidRPr="002C26FE">
        <w:rPr>
          <w:rFonts w:ascii="Times New Roman" w:hAnsi="Times New Roman" w:cs="Times New Roman"/>
          <w:sz w:val="24"/>
          <w:szCs w:val="24"/>
        </w:rPr>
        <w:t>Paciente femenina de 64 años de edad, con antecedentes de artritis reumatoide e hipotiroidismo; ambas enferm</w:t>
      </w:r>
      <w:r>
        <w:rPr>
          <w:rFonts w:ascii="Times New Roman" w:hAnsi="Times New Roman" w:cs="Times New Roman"/>
          <w:sz w:val="24"/>
          <w:szCs w:val="24"/>
        </w:rPr>
        <w:t>edades sin tratamiento regular. Asistió</w:t>
      </w:r>
      <w:r w:rsidRPr="002C26FE">
        <w:rPr>
          <w:rFonts w:ascii="Times New Roman" w:hAnsi="Times New Roman" w:cs="Times New Roman"/>
          <w:sz w:val="24"/>
          <w:szCs w:val="24"/>
        </w:rPr>
        <w:t xml:space="preserve"> al servicio de urgencias con fiebre y presencia de lesiones ulcerativas en miembro inferior izquierdo</w:t>
      </w:r>
      <w:r>
        <w:rPr>
          <w:rFonts w:ascii="Times New Roman" w:hAnsi="Times New Roman" w:cs="Times New Roman"/>
          <w:sz w:val="24"/>
          <w:szCs w:val="24"/>
        </w:rPr>
        <w:t>,</w:t>
      </w:r>
      <w:r w:rsidRPr="002C26FE">
        <w:rPr>
          <w:rFonts w:ascii="Times New Roman" w:hAnsi="Times New Roman" w:cs="Times New Roman"/>
          <w:sz w:val="24"/>
          <w:szCs w:val="24"/>
        </w:rPr>
        <w:t xml:space="preserve"> con fondo necrótico.</w:t>
      </w:r>
      <w:r>
        <w:rPr>
          <w:rFonts w:ascii="Times New Roman" w:hAnsi="Times New Roman" w:cs="Times New Roman"/>
          <w:sz w:val="24"/>
          <w:szCs w:val="24"/>
        </w:rPr>
        <w:t xml:space="preserve"> Debido a</w:t>
      </w:r>
      <w:r w:rsidRPr="002C26FE">
        <w:rPr>
          <w:rFonts w:ascii="Times New Roman" w:hAnsi="Times New Roman" w:cs="Times New Roman"/>
          <w:sz w:val="24"/>
          <w:szCs w:val="24"/>
        </w:rPr>
        <w:t xml:space="preserve"> leucopenia acompañada de esplenomegalia se le diagnosticó neutropenia febril (sepsis)</w:t>
      </w:r>
      <w:r>
        <w:rPr>
          <w:rFonts w:ascii="Times New Roman" w:hAnsi="Times New Roman" w:cs="Times New Roman"/>
          <w:sz w:val="24"/>
          <w:szCs w:val="24"/>
        </w:rPr>
        <w:t>,</w:t>
      </w:r>
      <w:r w:rsidRPr="002C26FE">
        <w:rPr>
          <w:rFonts w:ascii="Times New Roman" w:hAnsi="Times New Roman" w:cs="Times New Roman"/>
          <w:sz w:val="24"/>
          <w:szCs w:val="24"/>
        </w:rPr>
        <w:t xml:space="preserve"> secundaria a síndrome de Felty. Se instauró tratamiento oportuno y se logró paulatinamente la cicatrización de las </w:t>
      </w:r>
      <w:r w:rsidRPr="002C26FE">
        <w:rPr>
          <w:rFonts w:ascii="Times New Roman" w:hAnsi="Times New Roman" w:cs="Times New Roman"/>
          <w:sz w:val="24"/>
          <w:szCs w:val="24"/>
        </w:rPr>
        <w:lastRenderedPageBreak/>
        <w:t>lesiones ulcerativas, la erradicación de la infección con recuperación de los valores normales de neutrófilos y la posterior recuperación de la paciente.</w:t>
      </w:r>
    </w:p>
    <w:p w14:paraId="15E9558A" w14:textId="77777777" w:rsidR="007E4EBD" w:rsidRPr="002C26FE" w:rsidRDefault="007E4EBD" w:rsidP="007E4EBD">
      <w:pPr>
        <w:spacing w:after="0" w:line="360" w:lineRule="auto"/>
        <w:jc w:val="both"/>
        <w:rPr>
          <w:rFonts w:ascii="Times New Roman" w:hAnsi="Times New Roman" w:cs="Times New Roman"/>
          <w:sz w:val="24"/>
          <w:szCs w:val="24"/>
        </w:rPr>
      </w:pPr>
      <w:r w:rsidRPr="002C26FE">
        <w:rPr>
          <w:rFonts w:ascii="Times New Roman" w:hAnsi="Times New Roman" w:cs="Times New Roman"/>
          <w:b/>
          <w:sz w:val="24"/>
          <w:szCs w:val="24"/>
        </w:rPr>
        <w:t>Conclusiones:</w:t>
      </w:r>
      <w:r w:rsidRPr="002C26FE">
        <w:rPr>
          <w:rFonts w:ascii="Times New Roman" w:hAnsi="Times New Roman" w:cs="Times New Roman"/>
          <w:sz w:val="24"/>
          <w:szCs w:val="24"/>
        </w:rPr>
        <w:t xml:space="preserve"> </w:t>
      </w:r>
      <w:r>
        <w:rPr>
          <w:rFonts w:ascii="Times New Roman" w:hAnsi="Times New Roman" w:cs="Times New Roman"/>
          <w:sz w:val="24"/>
          <w:szCs w:val="24"/>
        </w:rPr>
        <w:t>A</w:t>
      </w:r>
      <w:r w:rsidRPr="002C26FE">
        <w:rPr>
          <w:rFonts w:ascii="Times New Roman" w:hAnsi="Times New Roman" w:cs="Times New Roman"/>
          <w:sz w:val="24"/>
          <w:szCs w:val="24"/>
        </w:rPr>
        <w:t>l realizar el diagnóstico de síndrome de Felty, lo esencial es alcanzar un control inmediato de la enfermedad de base</w:t>
      </w:r>
      <w:r>
        <w:rPr>
          <w:rFonts w:ascii="Times New Roman" w:hAnsi="Times New Roman" w:cs="Times New Roman"/>
          <w:sz w:val="24"/>
          <w:szCs w:val="24"/>
        </w:rPr>
        <w:t>,</w:t>
      </w:r>
      <w:r w:rsidRPr="002C26FE">
        <w:rPr>
          <w:rFonts w:ascii="Times New Roman" w:hAnsi="Times New Roman" w:cs="Times New Roman"/>
          <w:sz w:val="24"/>
          <w:szCs w:val="24"/>
        </w:rPr>
        <w:t xml:space="preserve"> de las comorbilidades y a través del tratamiento obtener un incremento de la supervivencia de los pacientes.</w:t>
      </w:r>
    </w:p>
    <w:p w14:paraId="33835C3C" w14:textId="77777777" w:rsidR="007E4EBD" w:rsidRPr="002C26FE" w:rsidRDefault="007E4EBD" w:rsidP="007E4EBD">
      <w:pPr>
        <w:spacing w:after="0" w:line="360" w:lineRule="auto"/>
        <w:jc w:val="both"/>
        <w:rPr>
          <w:rFonts w:ascii="Times New Roman" w:hAnsi="Times New Roman" w:cs="Times New Roman"/>
          <w:sz w:val="24"/>
          <w:szCs w:val="24"/>
        </w:rPr>
      </w:pPr>
      <w:r w:rsidRPr="002C26FE">
        <w:rPr>
          <w:rFonts w:ascii="Times New Roman" w:hAnsi="Times New Roman" w:cs="Times New Roman"/>
          <w:b/>
          <w:sz w:val="24"/>
          <w:szCs w:val="24"/>
        </w:rPr>
        <w:t xml:space="preserve">Palabras clave: </w:t>
      </w:r>
      <w:r>
        <w:rPr>
          <w:rFonts w:ascii="Times New Roman" w:hAnsi="Times New Roman" w:cs="Times New Roman"/>
          <w:sz w:val="24"/>
          <w:szCs w:val="24"/>
        </w:rPr>
        <w:t>s</w:t>
      </w:r>
      <w:r w:rsidRPr="002C26FE">
        <w:rPr>
          <w:rFonts w:ascii="Times New Roman" w:hAnsi="Times New Roman" w:cs="Times New Roman"/>
          <w:sz w:val="24"/>
          <w:szCs w:val="24"/>
        </w:rPr>
        <w:t>índrome de Felty;</w:t>
      </w:r>
      <w:r w:rsidRPr="002C26FE">
        <w:rPr>
          <w:rFonts w:ascii="Times New Roman" w:hAnsi="Times New Roman" w:cs="Times New Roman"/>
          <w:b/>
          <w:sz w:val="24"/>
          <w:szCs w:val="24"/>
        </w:rPr>
        <w:t xml:space="preserve"> </w:t>
      </w:r>
      <w:r w:rsidRPr="002C26FE">
        <w:rPr>
          <w:rFonts w:ascii="Times New Roman" w:hAnsi="Times New Roman" w:cs="Times New Roman"/>
          <w:sz w:val="24"/>
          <w:szCs w:val="24"/>
        </w:rPr>
        <w:t xml:space="preserve">artritis reumatoide; </w:t>
      </w:r>
      <w:r>
        <w:rPr>
          <w:rFonts w:ascii="Times New Roman" w:hAnsi="Times New Roman" w:cs="Times New Roman"/>
          <w:sz w:val="24"/>
          <w:szCs w:val="24"/>
        </w:rPr>
        <w:t>s</w:t>
      </w:r>
      <w:r w:rsidRPr="002C26FE">
        <w:rPr>
          <w:rFonts w:ascii="Times New Roman" w:hAnsi="Times New Roman" w:cs="Times New Roman"/>
          <w:sz w:val="24"/>
          <w:szCs w:val="24"/>
        </w:rPr>
        <w:t>índrome de Felty</w:t>
      </w:r>
      <w:r>
        <w:rPr>
          <w:rFonts w:ascii="Times New Roman" w:hAnsi="Times New Roman" w:cs="Times New Roman"/>
          <w:sz w:val="24"/>
          <w:szCs w:val="24"/>
        </w:rPr>
        <w:t>,</w:t>
      </w:r>
      <w:r w:rsidRPr="002C26FE">
        <w:rPr>
          <w:rFonts w:ascii="Times New Roman" w:hAnsi="Times New Roman" w:cs="Times New Roman"/>
          <w:sz w:val="24"/>
          <w:szCs w:val="24"/>
        </w:rPr>
        <w:t xml:space="preserve"> tratamiento.</w:t>
      </w:r>
    </w:p>
    <w:p w14:paraId="5176401D" w14:textId="77777777" w:rsidR="007E4EBD" w:rsidRDefault="007E4EBD" w:rsidP="007E4EBD">
      <w:pPr>
        <w:spacing w:after="0" w:line="360" w:lineRule="auto"/>
        <w:rPr>
          <w:rFonts w:ascii="Times New Roman" w:hAnsi="Times New Roman" w:cs="Times New Roman"/>
          <w:b/>
          <w:sz w:val="24"/>
          <w:szCs w:val="24"/>
        </w:rPr>
      </w:pPr>
    </w:p>
    <w:p w14:paraId="40867BF7" w14:textId="77777777" w:rsidR="007E4EBD" w:rsidRPr="002C26FE" w:rsidRDefault="007E4EBD" w:rsidP="007E4EBD">
      <w:pPr>
        <w:spacing w:after="0" w:line="360" w:lineRule="auto"/>
        <w:rPr>
          <w:rFonts w:ascii="Times New Roman" w:hAnsi="Times New Roman" w:cs="Times New Roman"/>
          <w:b/>
          <w:sz w:val="24"/>
          <w:szCs w:val="24"/>
          <w:highlight w:val="yellow"/>
          <w:lang w:val="en-US"/>
        </w:rPr>
      </w:pPr>
      <w:r w:rsidRPr="002C26FE">
        <w:rPr>
          <w:rFonts w:ascii="Times New Roman" w:hAnsi="Times New Roman" w:cs="Times New Roman"/>
          <w:b/>
          <w:sz w:val="24"/>
          <w:szCs w:val="24"/>
          <w:lang w:val="en-US"/>
        </w:rPr>
        <w:t>ABSTRACT</w:t>
      </w:r>
    </w:p>
    <w:p w14:paraId="024E8DFF" w14:textId="77777777" w:rsidR="007E4EBD" w:rsidRPr="002C26FE" w:rsidRDefault="007E4EBD" w:rsidP="007E4EBD">
      <w:pPr>
        <w:spacing w:after="0" w:line="360" w:lineRule="auto"/>
        <w:jc w:val="both"/>
        <w:rPr>
          <w:rFonts w:ascii="Times New Roman" w:hAnsi="Times New Roman" w:cs="Times New Roman"/>
          <w:sz w:val="24"/>
          <w:szCs w:val="24"/>
          <w:lang w:val="en-US"/>
        </w:rPr>
      </w:pPr>
      <w:r w:rsidRPr="002C26FE">
        <w:rPr>
          <w:rFonts w:ascii="Times New Roman" w:hAnsi="Times New Roman" w:cs="Times New Roman"/>
          <w:b/>
          <w:sz w:val="24"/>
          <w:szCs w:val="24"/>
          <w:lang w:val="en-US"/>
        </w:rPr>
        <w:t xml:space="preserve">Introduction: </w:t>
      </w:r>
      <w:r w:rsidRPr="002C26FE">
        <w:rPr>
          <w:rFonts w:ascii="Times New Roman" w:hAnsi="Times New Roman" w:cs="Times New Roman"/>
          <w:sz w:val="24"/>
          <w:szCs w:val="24"/>
          <w:lang w:val="en-US"/>
        </w:rPr>
        <w:t>Felty's syndrome is a rare extra-articular complication of rheumatoid arthritis, first described in 1924. Felty described 5 patients who were characterized by the presence of a clinical triad of rheumatoid arthritis</w:t>
      </w:r>
      <w:r>
        <w:rPr>
          <w:rFonts w:ascii="Times New Roman" w:hAnsi="Times New Roman" w:cs="Times New Roman"/>
          <w:sz w:val="24"/>
          <w:szCs w:val="24"/>
          <w:lang w:val="en-US"/>
        </w:rPr>
        <w:t>,</w:t>
      </w:r>
      <w:r w:rsidRPr="002C26FE">
        <w:rPr>
          <w:rFonts w:ascii="Times New Roman" w:hAnsi="Times New Roman" w:cs="Times New Roman"/>
          <w:sz w:val="24"/>
          <w:szCs w:val="24"/>
          <w:lang w:val="en-US"/>
        </w:rPr>
        <w:t xml:space="preserve"> splenomegaly</w:t>
      </w:r>
      <w:r>
        <w:rPr>
          <w:rFonts w:ascii="Times New Roman" w:hAnsi="Times New Roman" w:cs="Times New Roman"/>
          <w:sz w:val="24"/>
          <w:szCs w:val="24"/>
          <w:lang w:val="en-US"/>
        </w:rPr>
        <w:t xml:space="preserve">, </w:t>
      </w:r>
      <w:r w:rsidRPr="002C26FE">
        <w:rPr>
          <w:rFonts w:ascii="Times New Roman" w:hAnsi="Times New Roman" w:cs="Times New Roman"/>
          <w:sz w:val="24"/>
          <w:szCs w:val="24"/>
          <w:lang w:val="en-US"/>
        </w:rPr>
        <w:t>and neutropenia that appears fundamentally in patients with long years of evolution of their disease. It is a clinical entity with a high degree of mortality, given that it is a poorly diagnosed disease and therefore not treated.</w:t>
      </w:r>
    </w:p>
    <w:p w14:paraId="1AAA2C42" w14:textId="77777777" w:rsidR="007E4EBD" w:rsidRPr="002C26FE" w:rsidRDefault="007E4EBD" w:rsidP="007E4EBD">
      <w:pPr>
        <w:spacing w:after="0" w:line="360" w:lineRule="auto"/>
        <w:jc w:val="both"/>
        <w:rPr>
          <w:rFonts w:ascii="Times New Roman" w:hAnsi="Times New Roman" w:cs="Times New Roman"/>
          <w:sz w:val="24"/>
          <w:szCs w:val="24"/>
          <w:lang w:val="en-US"/>
        </w:rPr>
      </w:pPr>
      <w:r w:rsidRPr="002C26FE">
        <w:rPr>
          <w:rFonts w:ascii="Times New Roman" w:hAnsi="Times New Roman" w:cs="Times New Roman"/>
          <w:b/>
          <w:sz w:val="24"/>
          <w:szCs w:val="24"/>
          <w:lang w:val="en-US"/>
        </w:rPr>
        <w:t>Objective:</w:t>
      </w:r>
      <w:r w:rsidRPr="002C26FE">
        <w:rPr>
          <w:rFonts w:ascii="Times New Roman" w:hAnsi="Times New Roman" w:cs="Times New Roman"/>
          <w:sz w:val="24"/>
          <w:szCs w:val="24"/>
          <w:lang w:val="en-US"/>
        </w:rPr>
        <w:t xml:space="preserve"> Present a clinical case of Felty´s syndrome, its clinical characteristics and the therapeutic procedure used.</w:t>
      </w:r>
    </w:p>
    <w:p w14:paraId="0D70916F" w14:textId="77777777" w:rsidR="007E4EBD" w:rsidRPr="002C26FE" w:rsidRDefault="007E4EBD" w:rsidP="007E4EBD">
      <w:pPr>
        <w:spacing w:after="0" w:line="360" w:lineRule="auto"/>
        <w:jc w:val="both"/>
        <w:rPr>
          <w:rFonts w:ascii="Times New Roman" w:hAnsi="Times New Roman" w:cs="Times New Roman"/>
          <w:sz w:val="24"/>
          <w:szCs w:val="24"/>
          <w:lang w:val="en-US"/>
        </w:rPr>
      </w:pPr>
      <w:r w:rsidRPr="002C26FE">
        <w:rPr>
          <w:rFonts w:ascii="Times New Roman" w:hAnsi="Times New Roman" w:cs="Times New Roman"/>
          <w:b/>
          <w:sz w:val="24"/>
          <w:szCs w:val="24"/>
          <w:lang w:val="en-US"/>
        </w:rPr>
        <w:t xml:space="preserve">Clinical case: </w:t>
      </w:r>
      <w:r w:rsidRPr="002C26FE">
        <w:rPr>
          <w:rFonts w:ascii="Times New Roman" w:hAnsi="Times New Roman" w:cs="Times New Roman"/>
          <w:sz w:val="24"/>
          <w:szCs w:val="24"/>
          <w:lang w:val="en-US"/>
        </w:rPr>
        <w:t xml:space="preserve">64-year-old female patient with a history of rheumatoid arthritis and hypothyroidism; both diseases without regular treatment. She attended </w:t>
      </w:r>
      <w:r>
        <w:rPr>
          <w:rFonts w:ascii="Times New Roman" w:hAnsi="Times New Roman" w:cs="Times New Roman"/>
          <w:sz w:val="24"/>
          <w:szCs w:val="24"/>
          <w:lang w:val="en-US"/>
        </w:rPr>
        <w:t>to</w:t>
      </w:r>
      <w:r w:rsidRPr="002C26FE">
        <w:rPr>
          <w:rFonts w:ascii="Times New Roman" w:hAnsi="Times New Roman" w:cs="Times New Roman"/>
          <w:sz w:val="24"/>
          <w:szCs w:val="24"/>
          <w:lang w:val="en-US"/>
        </w:rPr>
        <w:t xml:space="preserve"> emergency with fever and the presence of ulcerative lesions on the left lower limb with a necrotic background. </w:t>
      </w:r>
      <w:r>
        <w:rPr>
          <w:rFonts w:ascii="Times New Roman" w:hAnsi="Times New Roman" w:cs="Times New Roman"/>
          <w:sz w:val="24"/>
          <w:szCs w:val="24"/>
          <w:lang w:val="en-US"/>
        </w:rPr>
        <w:t>Due to</w:t>
      </w:r>
      <w:r w:rsidRPr="002C26FE">
        <w:rPr>
          <w:rFonts w:ascii="Times New Roman" w:hAnsi="Times New Roman" w:cs="Times New Roman"/>
          <w:sz w:val="24"/>
          <w:szCs w:val="24"/>
          <w:lang w:val="en-US"/>
        </w:rPr>
        <w:t xml:space="preserve"> leukopenia accompanied by splenomegaly, </w:t>
      </w:r>
      <w:r>
        <w:rPr>
          <w:rFonts w:ascii="Times New Roman" w:hAnsi="Times New Roman" w:cs="Times New Roman"/>
          <w:sz w:val="24"/>
          <w:szCs w:val="24"/>
          <w:lang w:val="en-US"/>
        </w:rPr>
        <w:t>s</w:t>
      </w:r>
      <w:r w:rsidRPr="002C26FE">
        <w:rPr>
          <w:rFonts w:ascii="Times New Roman" w:hAnsi="Times New Roman" w:cs="Times New Roman"/>
          <w:sz w:val="24"/>
          <w:szCs w:val="24"/>
          <w:lang w:val="en-US"/>
        </w:rPr>
        <w:t>he was diagnosed with febrile neutropenia (sepsis) secondary to Felty's syndrome. Treatment was established and healing of the ulcerative lesions was gradually achieved, the eradication of the infection with recovery of normal neutrophil values and the subsequent recovery of the patient.</w:t>
      </w:r>
    </w:p>
    <w:p w14:paraId="3288154F" w14:textId="77777777" w:rsidR="007E4EBD" w:rsidRPr="002C26FE" w:rsidRDefault="007E4EBD" w:rsidP="007E4EBD">
      <w:pPr>
        <w:spacing w:after="0" w:line="360" w:lineRule="auto"/>
        <w:jc w:val="both"/>
        <w:rPr>
          <w:rFonts w:ascii="Times New Roman" w:hAnsi="Times New Roman" w:cs="Times New Roman"/>
          <w:sz w:val="24"/>
          <w:szCs w:val="24"/>
          <w:lang w:val="en-US"/>
        </w:rPr>
      </w:pPr>
      <w:r w:rsidRPr="002C26FE">
        <w:rPr>
          <w:rFonts w:ascii="Times New Roman" w:hAnsi="Times New Roman" w:cs="Times New Roman"/>
          <w:b/>
          <w:sz w:val="24"/>
          <w:szCs w:val="24"/>
          <w:lang w:val="en-US"/>
        </w:rPr>
        <w:t xml:space="preserve">Conclusions: </w:t>
      </w:r>
      <w:r>
        <w:rPr>
          <w:rFonts w:ascii="Times New Roman" w:hAnsi="Times New Roman" w:cs="Times New Roman"/>
          <w:sz w:val="24"/>
          <w:szCs w:val="24"/>
          <w:lang w:val="en-US"/>
        </w:rPr>
        <w:t>W</w:t>
      </w:r>
      <w:r w:rsidRPr="002C26FE">
        <w:rPr>
          <w:rFonts w:ascii="Times New Roman" w:hAnsi="Times New Roman" w:cs="Times New Roman"/>
          <w:sz w:val="24"/>
          <w:szCs w:val="24"/>
          <w:lang w:val="en-US"/>
        </w:rPr>
        <w:t>hen diagnosi</w:t>
      </w:r>
      <w:r>
        <w:rPr>
          <w:rFonts w:ascii="Times New Roman" w:hAnsi="Times New Roman" w:cs="Times New Roman"/>
          <w:sz w:val="24"/>
          <w:szCs w:val="24"/>
          <w:lang w:val="en-US"/>
        </w:rPr>
        <w:t>ng</w:t>
      </w:r>
      <w:r w:rsidRPr="002C26FE">
        <w:rPr>
          <w:rFonts w:ascii="Times New Roman" w:hAnsi="Times New Roman" w:cs="Times New Roman"/>
          <w:sz w:val="24"/>
          <w:szCs w:val="24"/>
          <w:lang w:val="en-US"/>
        </w:rPr>
        <w:t xml:space="preserve"> Felty</w:t>
      </w:r>
      <w:r>
        <w:rPr>
          <w:rFonts w:ascii="Times New Roman" w:hAnsi="Times New Roman" w:cs="Times New Roman"/>
          <w:sz w:val="24"/>
          <w:szCs w:val="24"/>
          <w:lang w:val="en-US"/>
        </w:rPr>
        <w:t>’s</w:t>
      </w:r>
      <w:r w:rsidRPr="002C26FE">
        <w:rPr>
          <w:rFonts w:ascii="Times New Roman" w:hAnsi="Times New Roman" w:cs="Times New Roman"/>
          <w:sz w:val="24"/>
          <w:szCs w:val="24"/>
          <w:lang w:val="en-US"/>
        </w:rPr>
        <w:t xml:space="preserve"> syndrome, the essential thing is to achieve immediate control of the underlying disease and the comorbidities; and through treatment obtain an increase in patient survival.</w:t>
      </w:r>
    </w:p>
    <w:p w14:paraId="29A64434" w14:textId="77777777" w:rsidR="007E4EBD" w:rsidRDefault="007E4EBD" w:rsidP="007E4EBD">
      <w:pPr>
        <w:spacing w:after="0" w:line="360" w:lineRule="auto"/>
        <w:rPr>
          <w:rFonts w:ascii="Times New Roman" w:hAnsi="Times New Roman" w:cs="Times New Roman"/>
          <w:sz w:val="24"/>
          <w:szCs w:val="24"/>
          <w:lang w:val="en-US"/>
        </w:rPr>
      </w:pPr>
      <w:r w:rsidRPr="002C26FE">
        <w:rPr>
          <w:rFonts w:ascii="Times New Roman" w:hAnsi="Times New Roman" w:cs="Times New Roman"/>
          <w:b/>
          <w:sz w:val="24"/>
          <w:szCs w:val="24"/>
          <w:lang w:val="en-US"/>
        </w:rPr>
        <w:t>Keywords:</w:t>
      </w:r>
      <w:r w:rsidRPr="002C26FE">
        <w:rPr>
          <w:rFonts w:ascii="Times New Roman" w:hAnsi="Times New Roman" w:cs="Times New Roman"/>
          <w:sz w:val="24"/>
          <w:szCs w:val="24"/>
          <w:lang w:val="en-US"/>
        </w:rPr>
        <w:t xml:space="preserve"> Felty's syndrome; rheumatoid arthritis; Felty's syndrome</w:t>
      </w:r>
      <w:r>
        <w:rPr>
          <w:rFonts w:ascii="Times New Roman" w:hAnsi="Times New Roman" w:cs="Times New Roman"/>
          <w:sz w:val="24"/>
          <w:szCs w:val="24"/>
          <w:lang w:val="en-US"/>
        </w:rPr>
        <w:t>,</w:t>
      </w:r>
      <w:r w:rsidRPr="002C26FE">
        <w:rPr>
          <w:rFonts w:ascii="Times New Roman" w:hAnsi="Times New Roman" w:cs="Times New Roman"/>
          <w:sz w:val="24"/>
          <w:szCs w:val="24"/>
          <w:lang w:val="en-US"/>
        </w:rPr>
        <w:t xml:space="preserve"> treatment.</w:t>
      </w:r>
    </w:p>
    <w:p w14:paraId="6A9343D3" w14:textId="77777777" w:rsidR="007E4EBD" w:rsidRDefault="007E4EBD" w:rsidP="007E4EBD">
      <w:pPr>
        <w:spacing w:after="0" w:line="360" w:lineRule="auto"/>
        <w:rPr>
          <w:rFonts w:ascii="Times New Roman" w:hAnsi="Times New Roman" w:cs="Times New Roman"/>
          <w:sz w:val="24"/>
          <w:szCs w:val="24"/>
          <w:lang w:val="en-US"/>
        </w:rPr>
      </w:pPr>
    </w:p>
    <w:p w14:paraId="2E9DD3B0" w14:textId="77777777" w:rsidR="007E4EBD" w:rsidRDefault="007E4EBD" w:rsidP="007E4EBD">
      <w:pPr>
        <w:spacing w:after="0" w:line="360" w:lineRule="auto"/>
        <w:rPr>
          <w:rFonts w:ascii="Times New Roman" w:hAnsi="Times New Roman" w:cs="Times New Roman"/>
          <w:sz w:val="24"/>
          <w:szCs w:val="24"/>
          <w:lang w:val="en-US"/>
        </w:rPr>
      </w:pPr>
    </w:p>
    <w:p w14:paraId="1C672608" w14:textId="77777777" w:rsidR="00FD2D0D" w:rsidRDefault="00FD2D0D">
      <w:p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14:paraId="77CEDF33" w14:textId="0334D1F4" w:rsidR="007E4EBD" w:rsidRPr="00CE5B08" w:rsidRDefault="007E4EBD" w:rsidP="007E4EBD">
      <w:pPr>
        <w:spacing w:after="0" w:line="360" w:lineRule="auto"/>
        <w:rPr>
          <w:rFonts w:ascii="Times New Roman" w:hAnsi="Times New Roman" w:cs="Times New Roman"/>
          <w:sz w:val="24"/>
          <w:szCs w:val="24"/>
        </w:rPr>
      </w:pPr>
      <w:r w:rsidRPr="00CE5B08">
        <w:rPr>
          <w:rFonts w:ascii="Times New Roman" w:hAnsi="Times New Roman" w:cs="Times New Roman"/>
          <w:sz w:val="24"/>
          <w:szCs w:val="24"/>
        </w:rPr>
        <w:lastRenderedPageBreak/>
        <w:t>Recibido:</w:t>
      </w:r>
      <w:r>
        <w:rPr>
          <w:rFonts w:ascii="Times New Roman" w:hAnsi="Times New Roman" w:cs="Times New Roman"/>
          <w:sz w:val="24"/>
          <w:szCs w:val="24"/>
        </w:rPr>
        <w:t xml:space="preserve"> 19/11/2021</w:t>
      </w:r>
    </w:p>
    <w:p w14:paraId="5655A6AE" w14:textId="77777777" w:rsidR="007E4EBD" w:rsidRPr="00CE5B08" w:rsidRDefault="007E4EBD" w:rsidP="007E4EBD">
      <w:pPr>
        <w:spacing w:after="0" w:line="360" w:lineRule="auto"/>
        <w:ind w:left="708" w:hanging="708"/>
        <w:rPr>
          <w:rFonts w:ascii="Times New Roman" w:hAnsi="Times New Roman" w:cs="Times New Roman"/>
          <w:sz w:val="24"/>
          <w:szCs w:val="24"/>
        </w:rPr>
      </w:pPr>
      <w:r w:rsidRPr="00CE5B08">
        <w:rPr>
          <w:rFonts w:ascii="Times New Roman" w:hAnsi="Times New Roman" w:cs="Times New Roman"/>
          <w:sz w:val="24"/>
          <w:szCs w:val="24"/>
        </w:rPr>
        <w:t>Aprobado:</w:t>
      </w:r>
      <w:r>
        <w:rPr>
          <w:rFonts w:ascii="Times New Roman" w:hAnsi="Times New Roman" w:cs="Times New Roman"/>
          <w:sz w:val="24"/>
          <w:szCs w:val="24"/>
        </w:rPr>
        <w:t xml:space="preserve"> 22/02/2022</w:t>
      </w:r>
    </w:p>
    <w:p w14:paraId="2EE8447E" w14:textId="77777777" w:rsidR="007E4EBD" w:rsidRDefault="007E4EBD" w:rsidP="007E4EBD">
      <w:pPr>
        <w:spacing w:after="0" w:line="360" w:lineRule="auto"/>
        <w:jc w:val="center"/>
        <w:rPr>
          <w:rFonts w:ascii="Times New Roman" w:hAnsi="Times New Roman" w:cs="Times New Roman"/>
          <w:b/>
          <w:sz w:val="24"/>
          <w:szCs w:val="24"/>
        </w:rPr>
      </w:pPr>
    </w:p>
    <w:p w14:paraId="1F98631A" w14:textId="77777777" w:rsidR="007E4EBD" w:rsidRDefault="007E4EBD" w:rsidP="007E4EBD">
      <w:pPr>
        <w:spacing w:after="0" w:line="360" w:lineRule="auto"/>
        <w:jc w:val="center"/>
        <w:rPr>
          <w:rFonts w:ascii="Times New Roman" w:hAnsi="Times New Roman" w:cs="Times New Roman"/>
          <w:b/>
          <w:sz w:val="24"/>
          <w:szCs w:val="24"/>
        </w:rPr>
      </w:pPr>
    </w:p>
    <w:p w14:paraId="341EA14E" w14:textId="77777777" w:rsidR="007E4EBD" w:rsidRPr="004C44CC" w:rsidRDefault="007E4EBD" w:rsidP="007E4EBD">
      <w:pPr>
        <w:spacing w:after="0" w:line="360" w:lineRule="auto"/>
        <w:jc w:val="center"/>
        <w:rPr>
          <w:rFonts w:ascii="Times New Roman" w:hAnsi="Times New Roman" w:cs="Times New Roman"/>
          <w:b/>
          <w:sz w:val="32"/>
          <w:szCs w:val="32"/>
        </w:rPr>
      </w:pPr>
      <w:r w:rsidRPr="004C44CC">
        <w:rPr>
          <w:rFonts w:ascii="Times New Roman" w:hAnsi="Times New Roman" w:cs="Times New Roman"/>
          <w:b/>
          <w:sz w:val="32"/>
          <w:szCs w:val="32"/>
        </w:rPr>
        <w:t>INTRODUCCIÓN</w:t>
      </w:r>
    </w:p>
    <w:p w14:paraId="161F0468" w14:textId="77777777" w:rsidR="007E4EBD" w:rsidRPr="002C26FE" w:rsidRDefault="007E4EBD" w:rsidP="007E4EBD">
      <w:pPr>
        <w:spacing w:after="0" w:line="360" w:lineRule="auto"/>
        <w:jc w:val="both"/>
        <w:rPr>
          <w:rFonts w:ascii="Times New Roman" w:hAnsi="Times New Roman" w:cs="Times New Roman"/>
          <w:sz w:val="24"/>
          <w:szCs w:val="24"/>
        </w:rPr>
      </w:pPr>
      <w:r w:rsidRPr="002C26FE">
        <w:rPr>
          <w:rFonts w:ascii="Times New Roman" w:hAnsi="Times New Roman" w:cs="Times New Roman"/>
          <w:sz w:val="24"/>
          <w:szCs w:val="24"/>
        </w:rPr>
        <w:t>El síndrome de Felty es una rara complicación extraarticular de la artritis reumatoide, descrito por primera vez en 1924.  Felty describió 5 pacientes que se caracterizaban por la presencia de una tríada clínica de artritis reumatoide</w:t>
      </w:r>
      <w:r>
        <w:rPr>
          <w:rFonts w:ascii="Times New Roman" w:hAnsi="Times New Roman" w:cs="Times New Roman"/>
          <w:sz w:val="24"/>
          <w:szCs w:val="24"/>
        </w:rPr>
        <w:t>,</w:t>
      </w:r>
      <w:r w:rsidRPr="002C26FE">
        <w:rPr>
          <w:rFonts w:ascii="Times New Roman" w:hAnsi="Times New Roman" w:cs="Times New Roman"/>
          <w:sz w:val="24"/>
          <w:szCs w:val="24"/>
        </w:rPr>
        <w:t xml:space="preserve"> esplenomegalia </w:t>
      </w:r>
      <w:r>
        <w:rPr>
          <w:rFonts w:ascii="Times New Roman" w:hAnsi="Times New Roman" w:cs="Times New Roman"/>
          <w:sz w:val="24"/>
          <w:szCs w:val="24"/>
        </w:rPr>
        <w:t>y</w:t>
      </w:r>
      <w:r w:rsidRPr="002C26FE">
        <w:rPr>
          <w:rFonts w:ascii="Times New Roman" w:hAnsi="Times New Roman" w:cs="Times New Roman"/>
          <w:sz w:val="24"/>
          <w:szCs w:val="24"/>
        </w:rPr>
        <w:t xml:space="preserve"> neutropenia</w:t>
      </w:r>
      <w:r>
        <w:rPr>
          <w:rFonts w:ascii="Times New Roman" w:hAnsi="Times New Roman" w:cs="Times New Roman"/>
          <w:sz w:val="24"/>
          <w:szCs w:val="24"/>
        </w:rPr>
        <w:t>,</w:t>
      </w:r>
      <w:r w:rsidRPr="002C26FE">
        <w:rPr>
          <w:rFonts w:ascii="Times New Roman" w:hAnsi="Times New Roman" w:cs="Times New Roman"/>
          <w:sz w:val="24"/>
          <w:szCs w:val="24"/>
        </w:rPr>
        <w:t xml:space="preserve"> que aparece fundamentalmente en los pacientes con largos años de evolución de su enfermedad. Es una entidad clínica con alto grado de mortalidad, dado a que es una enfermedad poco diagnosticada y por tanto no tratada.</w:t>
      </w:r>
      <w:r w:rsidRPr="002C26FE">
        <w:rPr>
          <w:rFonts w:ascii="Times New Roman" w:hAnsi="Times New Roman" w:cs="Times New Roman"/>
          <w:sz w:val="24"/>
          <w:szCs w:val="24"/>
          <w:vertAlign w:val="superscript"/>
        </w:rPr>
        <w:t>(1,2,3,4)</w:t>
      </w:r>
    </w:p>
    <w:p w14:paraId="3EF8BFCE" w14:textId="77777777" w:rsidR="007E4EBD" w:rsidRPr="002C26FE" w:rsidRDefault="007E4EBD" w:rsidP="007E4EBD">
      <w:pPr>
        <w:spacing w:after="0" w:line="360" w:lineRule="auto"/>
        <w:jc w:val="both"/>
        <w:rPr>
          <w:rFonts w:ascii="Times New Roman" w:hAnsi="Times New Roman" w:cs="Times New Roman"/>
          <w:sz w:val="24"/>
          <w:szCs w:val="24"/>
        </w:rPr>
      </w:pPr>
      <w:r w:rsidRPr="002C26FE">
        <w:rPr>
          <w:rFonts w:ascii="Times New Roman" w:hAnsi="Times New Roman" w:cs="Times New Roman"/>
          <w:sz w:val="24"/>
          <w:szCs w:val="24"/>
        </w:rPr>
        <w:t>Su presencia necesita de una evaluación detallada del enfermo, en la cual es importante la habilidad del médico. El síndrome de Felty afecta aproximadamente al 1 % de los pacientes diagnosticados por artritis reumatoide y acompañado de otras manifestaciones clínicas. Esta rara complicación puede propiciar la aparición de enfermedades infecciosas oportunistas y conducir al paciente a la sepsis e incluso la muerte de no ser tratado en el momento preciso.</w:t>
      </w:r>
      <w:r w:rsidRPr="002C26FE">
        <w:rPr>
          <w:rFonts w:ascii="Times New Roman" w:hAnsi="Times New Roman" w:cs="Times New Roman"/>
          <w:sz w:val="24"/>
          <w:szCs w:val="24"/>
          <w:vertAlign w:val="superscript"/>
        </w:rPr>
        <w:t>(1,5)</w:t>
      </w:r>
      <w:r w:rsidRPr="002C26FE">
        <w:rPr>
          <w:rFonts w:ascii="Times New Roman" w:hAnsi="Times New Roman" w:cs="Times New Roman"/>
          <w:sz w:val="24"/>
          <w:szCs w:val="24"/>
        </w:rPr>
        <w:t xml:space="preserve"> </w:t>
      </w:r>
    </w:p>
    <w:p w14:paraId="67E31A40" w14:textId="77777777" w:rsidR="007E4EBD" w:rsidRPr="002C26FE" w:rsidRDefault="007E4EBD" w:rsidP="007E4EBD">
      <w:pPr>
        <w:spacing w:after="0" w:line="360" w:lineRule="auto"/>
        <w:jc w:val="both"/>
        <w:rPr>
          <w:rFonts w:ascii="Times New Roman" w:hAnsi="Times New Roman" w:cs="Times New Roman"/>
          <w:sz w:val="24"/>
          <w:szCs w:val="24"/>
        </w:rPr>
      </w:pPr>
      <w:r w:rsidRPr="002C26FE">
        <w:rPr>
          <w:rFonts w:ascii="Times New Roman" w:hAnsi="Times New Roman" w:cs="Times New Roman"/>
          <w:sz w:val="24"/>
          <w:szCs w:val="24"/>
        </w:rPr>
        <w:t>La presentación del siguiente caso tiene la finalidad de mostrar las características clínicas de una singular enfermedad. El objetivo del estudio es presentar un caso clínico de síndrome de Felty, sus características clínicas y el procedimiento terapéutico empleado.</w:t>
      </w:r>
    </w:p>
    <w:p w14:paraId="0E72EFFB" w14:textId="77777777" w:rsidR="007E4EBD" w:rsidRDefault="007E4EBD" w:rsidP="007E4EBD">
      <w:pPr>
        <w:spacing w:after="0" w:line="360" w:lineRule="auto"/>
        <w:jc w:val="center"/>
        <w:rPr>
          <w:rFonts w:ascii="Times New Roman" w:hAnsi="Times New Roman" w:cs="Times New Roman"/>
          <w:b/>
          <w:sz w:val="24"/>
          <w:szCs w:val="24"/>
        </w:rPr>
      </w:pPr>
    </w:p>
    <w:p w14:paraId="6A6D24C8" w14:textId="77777777" w:rsidR="007E4EBD" w:rsidRDefault="007E4EBD" w:rsidP="007E4EBD">
      <w:pPr>
        <w:spacing w:after="0" w:line="360" w:lineRule="auto"/>
        <w:jc w:val="center"/>
        <w:rPr>
          <w:rFonts w:ascii="Times New Roman" w:hAnsi="Times New Roman" w:cs="Times New Roman"/>
          <w:b/>
          <w:sz w:val="24"/>
          <w:szCs w:val="24"/>
        </w:rPr>
      </w:pPr>
    </w:p>
    <w:p w14:paraId="7828FA20" w14:textId="77777777" w:rsidR="007E4EBD" w:rsidRPr="0009226C" w:rsidRDefault="007E4EBD" w:rsidP="007E4EBD">
      <w:pPr>
        <w:spacing w:after="0" w:line="360" w:lineRule="auto"/>
        <w:jc w:val="center"/>
        <w:rPr>
          <w:rFonts w:ascii="Times New Roman" w:hAnsi="Times New Roman" w:cs="Times New Roman"/>
          <w:b/>
          <w:sz w:val="32"/>
          <w:szCs w:val="32"/>
        </w:rPr>
      </w:pPr>
      <w:r w:rsidRPr="0009226C">
        <w:rPr>
          <w:rFonts w:ascii="Times New Roman" w:hAnsi="Times New Roman" w:cs="Times New Roman"/>
          <w:b/>
          <w:sz w:val="32"/>
          <w:szCs w:val="32"/>
        </w:rPr>
        <w:t>CASO CLÍNICO</w:t>
      </w:r>
    </w:p>
    <w:p w14:paraId="571085ED" w14:textId="77777777" w:rsidR="007E4EBD" w:rsidRPr="002C26FE" w:rsidRDefault="007E4EBD" w:rsidP="007E4EBD">
      <w:pPr>
        <w:spacing w:after="0" w:line="360" w:lineRule="auto"/>
        <w:jc w:val="both"/>
        <w:rPr>
          <w:rFonts w:ascii="Times New Roman" w:hAnsi="Times New Roman" w:cs="Times New Roman"/>
          <w:sz w:val="24"/>
          <w:szCs w:val="24"/>
        </w:rPr>
      </w:pPr>
      <w:r w:rsidRPr="002C26FE">
        <w:rPr>
          <w:rFonts w:ascii="Times New Roman" w:hAnsi="Times New Roman" w:cs="Times New Roman"/>
          <w:sz w:val="24"/>
          <w:szCs w:val="24"/>
        </w:rPr>
        <w:t xml:space="preserve">Paciente femenina de 64 años de edad, con antecedentes de artritis reumatoide diagnosticada hace 25 años e hipotiroidismo diagnosticado hace 5 años; ambas enfermedades sin tratamiento regular en el último año. Asistió al servicio de urgencias del hospital con fiebre y presencia de úlceras en miembros inferiores, cuadro que se ha presentado en </w:t>
      </w:r>
      <w:r>
        <w:rPr>
          <w:rFonts w:ascii="Times New Roman" w:hAnsi="Times New Roman" w:cs="Times New Roman"/>
          <w:sz w:val="24"/>
          <w:szCs w:val="24"/>
        </w:rPr>
        <w:t>2</w:t>
      </w:r>
      <w:r w:rsidRPr="002C26FE">
        <w:rPr>
          <w:rFonts w:ascii="Times New Roman" w:hAnsi="Times New Roman" w:cs="Times New Roman"/>
          <w:sz w:val="24"/>
          <w:szCs w:val="24"/>
        </w:rPr>
        <w:t xml:space="preserve"> ocasiones anteriores durante los últimos 8 meses.</w:t>
      </w:r>
    </w:p>
    <w:p w14:paraId="2FEEA8F2" w14:textId="77777777" w:rsidR="007E4EBD" w:rsidRPr="002C26FE" w:rsidRDefault="007E4EBD" w:rsidP="007E4EBD">
      <w:pPr>
        <w:spacing w:after="0" w:line="360" w:lineRule="auto"/>
        <w:jc w:val="both"/>
        <w:rPr>
          <w:rFonts w:ascii="Times New Roman" w:hAnsi="Times New Roman" w:cs="Times New Roman"/>
          <w:sz w:val="24"/>
          <w:szCs w:val="24"/>
        </w:rPr>
      </w:pPr>
      <w:r w:rsidRPr="002C26FE">
        <w:rPr>
          <w:rFonts w:ascii="Times New Roman" w:hAnsi="Times New Roman" w:cs="Times New Roman"/>
          <w:sz w:val="24"/>
          <w:szCs w:val="24"/>
        </w:rPr>
        <w:t>Examen físico:</w:t>
      </w:r>
      <w:r>
        <w:rPr>
          <w:rFonts w:ascii="Times New Roman" w:hAnsi="Times New Roman" w:cs="Times New Roman"/>
          <w:sz w:val="24"/>
          <w:szCs w:val="24"/>
        </w:rPr>
        <w:t xml:space="preserve"> p</w:t>
      </w:r>
      <w:r w:rsidRPr="002C26FE">
        <w:rPr>
          <w:rFonts w:ascii="Times New Roman" w:hAnsi="Times New Roman" w:cs="Times New Roman"/>
          <w:sz w:val="24"/>
          <w:szCs w:val="24"/>
        </w:rPr>
        <w:t>eso: 45 kg; talla: 160 cm; índice de masa corporal (IMC): 17,6 kg/m</w:t>
      </w:r>
      <w:r w:rsidRPr="002C26FE">
        <w:rPr>
          <w:rFonts w:ascii="Times New Roman" w:hAnsi="Times New Roman" w:cs="Times New Roman"/>
          <w:sz w:val="24"/>
          <w:szCs w:val="24"/>
          <w:vertAlign w:val="superscript"/>
        </w:rPr>
        <w:t>2</w:t>
      </w:r>
      <w:r w:rsidRPr="002C26FE">
        <w:rPr>
          <w:rFonts w:ascii="Times New Roman" w:hAnsi="Times New Roman" w:cs="Times New Roman"/>
          <w:sz w:val="24"/>
          <w:szCs w:val="24"/>
        </w:rPr>
        <w:t xml:space="preserve"> (delgadez leve).</w:t>
      </w:r>
    </w:p>
    <w:p w14:paraId="71D40934" w14:textId="77777777" w:rsidR="007E4EBD" w:rsidRPr="002C26FE" w:rsidRDefault="007E4EBD" w:rsidP="007E4EBD">
      <w:pPr>
        <w:spacing w:after="0" w:line="360" w:lineRule="auto"/>
        <w:jc w:val="both"/>
        <w:rPr>
          <w:rFonts w:ascii="Times New Roman" w:hAnsi="Times New Roman" w:cs="Times New Roman"/>
          <w:sz w:val="24"/>
          <w:szCs w:val="24"/>
        </w:rPr>
      </w:pPr>
      <w:r w:rsidRPr="002C26FE">
        <w:rPr>
          <w:rFonts w:ascii="Times New Roman" w:hAnsi="Times New Roman" w:cs="Times New Roman"/>
          <w:sz w:val="24"/>
          <w:szCs w:val="24"/>
        </w:rPr>
        <w:t>Aparato respiratorio: frecuencia respiratoria de 25 respiraciones por minuto.</w:t>
      </w:r>
    </w:p>
    <w:p w14:paraId="6E72000E" w14:textId="77777777" w:rsidR="007E4EBD" w:rsidRPr="002C26FE" w:rsidRDefault="007E4EBD" w:rsidP="007E4EBD">
      <w:pPr>
        <w:spacing w:after="0" w:line="360" w:lineRule="auto"/>
        <w:jc w:val="both"/>
        <w:rPr>
          <w:rFonts w:ascii="Times New Roman" w:hAnsi="Times New Roman" w:cs="Times New Roman"/>
          <w:sz w:val="24"/>
          <w:szCs w:val="24"/>
        </w:rPr>
      </w:pPr>
      <w:r w:rsidRPr="002C26FE">
        <w:rPr>
          <w:rFonts w:ascii="Times New Roman" w:hAnsi="Times New Roman" w:cs="Times New Roman"/>
          <w:sz w:val="24"/>
          <w:szCs w:val="24"/>
        </w:rPr>
        <w:lastRenderedPageBreak/>
        <w:t>Aparato cardiovascular: ruidos cardíacos rítmicos, frecuencia cardíaca central de 119 latidos por minuto, tensión arterial de 94/62 mmHg, tensión arterial media de 72,6 mmHg; con un llenado capilar de 6 segundos y gradiente térmico distal a nivel de manos y pies.</w:t>
      </w:r>
    </w:p>
    <w:p w14:paraId="26791625" w14:textId="77777777" w:rsidR="007E4EBD" w:rsidRPr="002C26FE" w:rsidRDefault="007E4EBD" w:rsidP="007E4EBD">
      <w:pPr>
        <w:spacing w:after="0" w:line="360" w:lineRule="auto"/>
        <w:jc w:val="both"/>
        <w:rPr>
          <w:rFonts w:ascii="Times New Roman" w:hAnsi="Times New Roman" w:cs="Times New Roman"/>
          <w:sz w:val="24"/>
          <w:szCs w:val="24"/>
        </w:rPr>
      </w:pPr>
      <w:r w:rsidRPr="002C26FE">
        <w:rPr>
          <w:rFonts w:ascii="Times New Roman" w:hAnsi="Times New Roman" w:cs="Times New Roman"/>
          <w:sz w:val="24"/>
          <w:szCs w:val="24"/>
        </w:rPr>
        <w:t xml:space="preserve">Piel: dos lesiones ulcerativas distribuidas en miembro inferior izquierdo, la mayor (Fig. 1) ubicada en la región anterior de la pierna con 25 cm de largo y 9 cm de ancho; y la menor (Fig. 2) en región anterior del muslo con un largo por ancho de 10 cm por 5 cm. Ambas lesiones con bordes irregulares y eritematosos, fondo necrótico, presencia de dermis expuesta y secreción de pus.  </w:t>
      </w:r>
    </w:p>
    <w:p w14:paraId="0E534311" w14:textId="77777777" w:rsidR="007E4EBD" w:rsidRPr="002C26FE" w:rsidRDefault="007E4EBD" w:rsidP="007E4EBD">
      <w:pPr>
        <w:spacing w:after="0" w:line="360" w:lineRule="auto"/>
        <w:jc w:val="both"/>
        <w:rPr>
          <w:rFonts w:ascii="Times New Roman" w:hAnsi="Times New Roman" w:cs="Times New Roman"/>
          <w:sz w:val="24"/>
          <w:szCs w:val="24"/>
        </w:rPr>
      </w:pPr>
      <w:r w:rsidRPr="002C26FE">
        <w:rPr>
          <w:rFonts w:ascii="Times New Roman" w:hAnsi="Times New Roman" w:cs="Times New Roman"/>
          <w:sz w:val="24"/>
          <w:szCs w:val="24"/>
        </w:rPr>
        <w:t>Exámenes complementarios:</w:t>
      </w:r>
    </w:p>
    <w:p w14:paraId="2B408A71" w14:textId="77777777" w:rsidR="007E4EBD" w:rsidRPr="002C26FE" w:rsidRDefault="007E4EBD" w:rsidP="007E4EBD">
      <w:pPr>
        <w:spacing w:after="0" w:line="360" w:lineRule="auto"/>
        <w:jc w:val="both"/>
        <w:rPr>
          <w:rFonts w:ascii="Times New Roman" w:hAnsi="Times New Roman" w:cs="Times New Roman"/>
          <w:sz w:val="24"/>
          <w:szCs w:val="24"/>
        </w:rPr>
      </w:pPr>
      <w:r w:rsidRPr="002C26FE">
        <w:rPr>
          <w:rFonts w:ascii="Times New Roman" w:hAnsi="Times New Roman" w:cs="Times New Roman"/>
          <w:sz w:val="24"/>
          <w:szCs w:val="24"/>
        </w:rPr>
        <w:t>Hemograma completo: hemoglobina: 91 g/L, hematocrito: 0,30, leucocitos: 2,4x10</w:t>
      </w:r>
      <w:r w:rsidRPr="002C26FE">
        <w:rPr>
          <w:rFonts w:ascii="Times New Roman" w:hAnsi="Times New Roman" w:cs="Times New Roman"/>
          <w:sz w:val="24"/>
          <w:szCs w:val="24"/>
          <w:vertAlign w:val="superscript"/>
        </w:rPr>
        <w:t>9</w:t>
      </w:r>
      <w:r w:rsidRPr="002C26FE">
        <w:rPr>
          <w:rFonts w:ascii="Times New Roman" w:hAnsi="Times New Roman" w:cs="Times New Roman"/>
          <w:sz w:val="24"/>
          <w:szCs w:val="24"/>
        </w:rPr>
        <w:t>/L, neutrófilos: 0,08, linfocitos: 0,92. Conteo de neutrófilos 192/mm</w:t>
      </w:r>
      <w:r w:rsidRPr="002C26FE">
        <w:rPr>
          <w:rFonts w:ascii="Times New Roman" w:hAnsi="Times New Roman" w:cs="Times New Roman"/>
          <w:sz w:val="24"/>
          <w:szCs w:val="24"/>
          <w:vertAlign w:val="superscript"/>
        </w:rPr>
        <w:t>3</w:t>
      </w:r>
      <w:r w:rsidRPr="002C26FE">
        <w:rPr>
          <w:rFonts w:ascii="Times New Roman" w:hAnsi="Times New Roman" w:cs="Times New Roman"/>
          <w:sz w:val="24"/>
          <w:szCs w:val="24"/>
        </w:rPr>
        <w:t xml:space="preserve"> (neutropenia </w:t>
      </w:r>
      <w:r>
        <w:rPr>
          <w:rFonts w:ascii="Times New Roman" w:hAnsi="Times New Roman" w:cs="Times New Roman"/>
          <w:sz w:val="24"/>
          <w:szCs w:val="24"/>
        </w:rPr>
        <w:t>marcada</w:t>
      </w:r>
      <w:r w:rsidRPr="002C26FE">
        <w:rPr>
          <w:rFonts w:ascii="Times New Roman" w:hAnsi="Times New Roman" w:cs="Times New Roman"/>
          <w:sz w:val="24"/>
          <w:szCs w:val="24"/>
        </w:rPr>
        <w:t>).</w:t>
      </w:r>
    </w:p>
    <w:p w14:paraId="660BCB6B" w14:textId="77777777" w:rsidR="007E4EBD" w:rsidRPr="002C26FE" w:rsidRDefault="007E4EBD" w:rsidP="007E4EBD">
      <w:pPr>
        <w:spacing w:after="0" w:line="360" w:lineRule="auto"/>
        <w:jc w:val="both"/>
        <w:rPr>
          <w:rFonts w:ascii="Times New Roman" w:hAnsi="Times New Roman" w:cs="Times New Roman"/>
          <w:sz w:val="24"/>
          <w:szCs w:val="24"/>
        </w:rPr>
      </w:pPr>
      <w:r w:rsidRPr="002C26FE">
        <w:rPr>
          <w:rFonts w:ascii="Times New Roman" w:hAnsi="Times New Roman" w:cs="Times New Roman"/>
          <w:sz w:val="24"/>
          <w:szCs w:val="24"/>
        </w:rPr>
        <w:t>Velocidad de sedimentación globular: 89 mL/s.</w:t>
      </w:r>
    </w:p>
    <w:p w14:paraId="6D87B4D0" w14:textId="77777777" w:rsidR="007E4EBD" w:rsidRPr="002C26FE" w:rsidRDefault="007E4EBD" w:rsidP="007E4EBD">
      <w:pPr>
        <w:spacing w:after="0" w:line="360" w:lineRule="auto"/>
        <w:jc w:val="both"/>
        <w:rPr>
          <w:rFonts w:ascii="Times New Roman" w:hAnsi="Times New Roman" w:cs="Times New Roman"/>
          <w:sz w:val="24"/>
          <w:szCs w:val="24"/>
        </w:rPr>
      </w:pPr>
      <w:r w:rsidRPr="002C26FE">
        <w:rPr>
          <w:rFonts w:ascii="Times New Roman" w:hAnsi="Times New Roman" w:cs="Times New Roman"/>
          <w:sz w:val="24"/>
          <w:szCs w:val="24"/>
        </w:rPr>
        <w:t>Coagulograma: conteo de plaquetas: 98x10</w:t>
      </w:r>
      <w:r w:rsidRPr="002C26FE">
        <w:rPr>
          <w:rFonts w:ascii="Times New Roman" w:hAnsi="Times New Roman" w:cs="Times New Roman"/>
          <w:sz w:val="24"/>
          <w:szCs w:val="24"/>
          <w:vertAlign w:val="superscript"/>
        </w:rPr>
        <w:t>9</w:t>
      </w:r>
      <w:r w:rsidRPr="002C26FE">
        <w:rPr>
          <w:rFonts w:ascii="Times New Roman" w:hAnsi="Times New Roman" w:cs="Times New Roman"/>
          <w:sz w:val="24"/>
          <w:szCs w:val="24"/>
        </w:rPr>
        <w:t>/L.</w:t>
      </w:r>
    </w:p>
    <w:p w14:paraId="0A3093D1" w14:textId="77777777" w:rsidR="007E4EBD" w:rsidRPr="002C26FE" w:rsidRDefault="007E4EBD" w:rsidP="007E4EBD">
      <w:pPr>
        <w:spacing w:after="0" w:line="360" w:lineRule="auto"/>
        <w:jc w:val="both"/>
        <w:rPr>
          <w:rFonts w:ascii="Times New Roman" w:hAnsi="Times New Roman" w:cs="Times New Roman"/>
          <w:sz w:val="24"/>
          <w:szCs w:val="24"/>
        </w:rPr>
      </w:pPr>
      <w:r w:rsidRPr="002C26FE">
        <w:rPr>
          <w:rFonts w:ascii="Times New Roman" w:hAnsi="Times New Roman" w:cs="Times New Roman"/>
          <w:sz w:val="24"/>
          <w:szCs w:val="24"/>
        </w:rPr>
        <w:t>Creatinina: 113 µmol/L.</w:t>
      </w:r>
    </w:p>
    <w:p w14:paraId="04A35CF8" w14:textId="77777777" w:rsidR="007E4EBD" w:rsidRPr="002C26FE" w:rsidRDefault="007E4EBD" w:rsidP="007E4EBD">
      <w:pPr>
        <w:spacing w:after="0" w:line="360" w:lineRule="auto"/>
        <w:jc w:val="both"/>
        <w:rPr>
          <w:rFonts w:ascii="Times New Roman" w:hAnsi="Times New Roman" w:cs="Times New Roman"/>
          <w:sz w:val="24"/>
          <w:szCs w:val="24"/>
        </w:rPr>
      </w:pPr>
      <w:r w:rsidRPr="002C26FE">
        <w:rPr>
          <w:rFonts w:ascii="Times New Roman" w:hAnsi="Times New Roman" w:cs="Times New Roman"/>
          <w:sz w:val="24"/>
          <w:szCs w:val="24"/>
        </w:rPr>
        <w:t>Filtrado glomerular (MDRD): 45,1 ml/min.</w:t>
      </w:r>
    </w:p>
    <w:p w14:paraId="0A3257BC" w14:textId="77777777" w:rsidR="007E4EBD" w:rsidRPr="002C26FE" w:rsidRDefault="007E4EBD" w:rsidP="007E4EBD">
      <w:pPr>
        <w:spacing w:after="0" w:line="360" w:lineRule="auto"/>
        <w:jc w:val="both"/>
        <w:rPr>
          <w:rFonts w:ascii="Times New Roman" w:hAnsi="Times New Roman" w:cs="Times New Roman"/>
          <w:sz w:val="24"/>
          <w:szCs w:val="24"/>
        </w:rPr>
      </w:pPr>
      <w:r w:rsidRPr="002C26FE">
        <w:rPr>
          <w:rFonts w:ascii="Times New Roman" w:hAnsi="Times New Roman" w:cs="Times New Roman"/>
          <w:sz w:val="24"/>
          <w:szCs w:val="24"/>
        </w:rPr>
        <w:t>Lámina periférica: hematíes normocíticos – normocrómicos, leucocitos y plaquetas de aspecto normal.</w:t>
      </w:r>
    </w:p>
    <w:p w14:paraId="485C7F45" w14:textId="77777777" w:rsidR="007E4EBD" w:rsidRPr="002C26FE" w:rsidRDefault="007E4EBD" w:rsidP="007E4EBD">
      <w:pPr>
        <w:spacing w:after="0" w:line="360" w:lineRule="auto"/>
        <w:jc w:val="both"/>
        <w:rPr>
          <w:rFonts w:ascii="Times New Roman" w:hAnsi="Times New Roman" w:cs="Times New Roman"/>
          <w:sz w:val="24"/>
          <w:szCs w:val="24"/>
        </w:rPr>
      </w:pPr>
      <w:r w:rsidRPr="002C26FE">
        <w:rPr>
          <w:rFonts w:ascii="Times New Roman" w:hAnsi="Times New Roman" w:cs="Times New Roman"/>
          <w:sz w:val="24"/>
          <w:szCs w:val="24"/>
        </w:rPr>
        <w:t>Cultivo de secreciones de las lesiones ulcerativas: estreptococo B – hemolítico.</w:t>
      </w:r>
    </w:p>
    <w:p w14:paraId="1F8B47D8" w14:textId="77777777" w:rsidR="007E4EBD" w:rsidRPr="002C26FE" w:rsidRDefault="007E4EBD" w:rsidP="007E4EBD">
      <w:pPr>
        <w:spacing w:after="0" w:line="360" w:lineRule="auto"/>
        <w:jc w:val="both"/>
        <w:rPr>
          <w:rFonts w:ascii="Times New Roman" w:hAnsi="Times New Roman" w:cs="Times New Roman"/>
          <w:sz w:val="24"/>
          <w:szCs w:val="24"/>
        </w:rPr>
      </w:pPr>
      <w:r w:rsidRPr="002C26FE">
        <w:rPr>
          <w:rFonts w:ascii="Times New Roman" w:hAnsi="Times New Roman" w:cs="Times New Roman"/>
          <w:sz w:val="24"/>
          <w:szCs w:val="24"/>
        </w:rPr>
        <w:t>Ultrasonido abdominal: bazo que mide 151 x 66 mm de ecotextura conservada.</w:t>
      </w:r>
    </w:p>
    <w:p w14:paraId="3D4FF1C6" w14:textId="77777777" w:rsidR="007E4EBD" w:rsidRDefault="007E4EBD" w:rsidP="007E4EBD">
      <w:pPr>
        <w:spacing w:after="0" w:line="360" w:lineRule="auto"/>
        <w:jc w:val="both"/>
        <w:rPr>
          <w:rFonts w:ascii="Times New Roman" w:hAnsi="Times New Roman" w:cs="Times New Roman"/>
          <w:b/>
          <w:noProof/>
          <w:color w:val="FF0000"/>
          <w:sz w:val="24"/>
          <w:szCs w:val="24"/>
          <w:lang w:eastAsia="es-ES"/>
        </w:rPr>
      </w:pPr>
    </w:p>
    <w:p w14:paraId="3EFB1DA2" w14:textId="77777777" w:rsidR="007E4EBD" w:rsidRDefault="007E4EBD" w:rsidP="007E4EBD">
      <w:pPr>
        <w:spacing w:after="0" w:line="360" w:lineRule="auto"/>
        <w:jc w:val="center"/>
        <w:rPr>
          <w:rFonts w:ascii="Times New Roman" w:hAnsi="Times New Roman" w:cs="Times New Roman"/>
          <w:b/>
          <w:sz w:val="24"/>
          <w:szCs w:val="24"/>
        </w:rPr>
      </w:pPr>
      <w:r w:rsidRPr="005E12E7">
        <w:rPr>
          <w:rFonts w:ascii="Times New Roman" w:hAnsi="Times New Roman" w:cs="Times New Roman"/>
          <w:noProof/>
          <w:sz w:val="24"/>
          <w:szCs w:val="24"/>
          <w:lang w:eastAsia="es-ES"/>
        </w:rPr>
        <w:drawing>
          <wp:inline distT="0" distB="0" distL="0" distR="0" wp14:anchorId="0E35CEEA" wp14:editId="33BA9A8E">
            <wp:extent cx="4558437" cy="2038350"/>
            <wp:effectExtent l="0" t="0" r="0" b="0"/>
            <wp:docPr id="3" name="Imagen 3" descr="D:\proyectos\PUBLICACIONES\IDEAS\Síndrome de Felty\20210519_173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yectos\PUBLICACIONES\IDEAS\Síndrome de Felty\20210519_173136.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88329" cy="2051716"/>
                    </a:xfrm>
                    <a:prstGeom prst="rect">
                      <a:avLst/>
                    </a:prstGeom>
                    <a:noFill/>
                    <a:ln>
                      <a:noFill/>
                    </a:ln>
                  </pic:spPr>
                </pic:pic>
              </a:graphicData>
            </a:graphic>
          </wp:inline>
        </w:drawing>
      </w:r>
    </w:p>
    <w:p w14:paraId="42ACAE7C" w14:textId="042EF0E0" w:rsidR="007E4EBD" w:rsidRPr="00A42C81" w:rsidRDefault="007E4EBD" w:rsidP="007E4EBD">
      <w:pPr>
        <w:spacing w:after="0" w:line="360" w:lineRule="auto"/>
        <w:jc w:val="center"/>
        <w:rPr>
          <w:rFonts w:ascii="Times New Roman" w:hAnsi="Times New Roman" w:cs="Times New Roman"/>
          <w:color w:val="FF0000"/>
        </w:rPr>
      </w:pPr>
      <w:r w:rsidRPr="00A42C81">
        <w:rPr>
          <w:rFonts w:ascii="Times New Roman" w:hAnsi="Times New Roman" w:cs="Times New Roman"/>
          <w:b/>
        </w:rPr>
        <w:t>Fig. 1</w:t>
      </w:r>
      <w:r w:rsidRPr="00A42C81">
        <w:rPr>
          <w:rFonts w:ascii="Times New Roman" w:hAnsi="Times New Roman" w:cs="Times New Roman"/>
        </w:rPr>
        <w:t xml:space="preserve"> – Lesión ulcerativa en</w:t>
      </w:r>
      <w:r w:rsidR="001825DF">
        <w:rPr>
          <w:rFonts w:ascii="Times New Roman" w:hAnsi="Times New Roman" w:cs="Times New Roman"/>
        </w:rPr>
        <w:t xml:space="preserve"> la</w:t>
      </w:r>
      <w:r w:rsidRPr="00A42C81">
        <w:rPr>
          <w:rFonts w:ascii="Times New Roman" w:hAnsi="Times New Roman" w:cs="Times New Roman"/>
        </w:rPr>
        <w:t xml:space="preserve"> pierna izquierda.</w:t>
      </w:r>
    </w:p>
    <w:p w14:paraId="75AEB4B1" w14:textId="77777777" w:rsidR="007E4EBD" w:rsidRDefault="007E4EBD" w:rsidP="007E4EBD">
      <w:pPr>
        <w:spacing w:after="0" w:line="360" w:lineRule="auto"/>
        <w:jc w:val="both"/>
        <w:rPr>
          <w:rFonts w:ascii="Times New Roman" w:hAnsi="Times New Roman" w:cs="Times New Roman"/>
          <w:color w:val="FF0000"/>
          <w:sz w:val="24"/>
          <w:szCs w:val="24"/>
        </w:rPr>
      </w:pPr>
    </w:p>
    <w:p w14:paraId="4A56EED9" w14:textId="77777777" w:rsidR="007E4EBD" w:rsidRDefault="007E4EBD" w:rsidP="007E4EBD">
      <w:pPr>
        <w:spacing w:after="0" w:line="360" w:lineRule="auto"/>
        <w:jc w:val="center"/>
        <w:rPr>
          <w:rFonts w:ascii="Times New Roman" w:hAnsi="Times New Roman" w:cs="Times New Roman"/>
          <w:b/>
          <w:sz w:val="24"/>
          <w:szCs w:val="24"/>
        </w:rPr>
      </w:pPr>
      <w:r w:rsidRPr="005E12E7">
        <w:rPr>
          <w:rFonts w:ascii="Times New Roman" w:hAnsi="Times New Roman" w:cs="Times New Roman"/>
          <w:noProof/>
          <w:sz w:val="24"/>
          <w:szCs w:val="24"/>
          <w:lang w:eastAsia="es-ES"/>
        </w:rPr>
        <w:lastRenderedPageBreak/>
        <w:drawing>
          <wp:inline distT="0" distB="0" distL="0" distR="0" wp14:anchorId="24C6E5A7" wp14:editId="0BCE1E82">
            <wp:extent cx="4280669" cy="2162175"/>
            <wp:effectExtent l="0" t="0" r="5715" b="0"/>
            <wp:docPr id="4" name="Imagen 4" descr="D:\proyectos\PUBLICACIONES\IDEAS\Síndrome de Felty\20210514_1818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royectos\PUBLICACIONES\IDEAS\Síndrome de Felty\20210514_18183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12635" cy="2178321"/>
                    </a:xfrm>
                    <a:prstGeom prst="rect">
                      <a:avLst/>
                    </a:prstGeom>
                    <a:noFill/>
                    <a:ln>
                      <a:noFill/>
                    </a:ln>
                  </pic:spPr>
                </pic:pic>
              </a:graphicData>
            </a:graphic>
          </wp:inline>
        </w:drawing>
      </w:r>
    </w:p>
    <w:p w14:paraId="0415E11D" w14:textId="1E28A4C0" w:rsidR="007E4EBD" w:rsidRPr="00A42C81" w:rsidRDefault="007E4EBD" w:rsidP="007E4EBD">
      <w:pPr>
        <w:spacing w:after="0" w:line="360" w:lineRule="auto"/>
        <w:jc w:val="center"/>
        <w:rPr>
          <w:rFonts w:ascii="Times New Roman" w:hAnsi="Times New Roman" w:cs="Times New Roman"/>
          <w:color w:val="FF0000"/>
        </w:rPr>
      </w:pPr>
      <w:r w:rsidRPr="00A42C81">
        <w:rPr>
          <w:rFonts w:ascii="Times New Roman" w:hAnsi="Times New Roman" w:cs="Times New Roman"/>
          <w:b/>
        </w:rPr>
        <w:t>Fig. 2</w:t>
      </w:r>
      <w:r w:rsidRPr="00A42C81">
        <w:rPr>
          <w:rFonts w:ascii="Times New Roman" w:hAnsi="Times New Roman" w:cs="Times New Roman"/>
        </w:rPr>
        <w:t xml:space="preserve"> – Lesión ulcerativa en</w:t>
      </w:r>
      <w:r w:rsidR="00075013">
        <w:rPr>
          <w:rFonts w:ascii="Times New Roman" w:hAnsi="Times New Roman" w:cs="Times New Roman"/>
        </w:rPr>
        <w:t xml:space="preserve"> el</w:t>
      </w:r>
      <w:r w:rsidRPr="00A42C81">
        <w:rPr>
          <w:rFonts w:ascii="Times New Roman" w:hAnsi="Times New Roman" w:cs="Times New Roman"/>
        </w:rPr>
        <w:t xml:space="preserve"> muslo izquierdo.</w:t>
      </w:r>
    </w:p>
    <w:p w14:paraId="5669C6B0" w14:textId="77777777" w:rsidR="007E4EBD" w:rsidRPr="002C26FE" w:rsidRDefault="007E4EBD" w:rsidP="007E4EBD">
      <w:pPr>
        <w:spacing w:after="0" w:line="360" w:lineRule="auto"/>
        <w:jc w:val="both"/>
        <w:rPr>
          <w:rFonts w:ascii="Times New Roman" w:hAnsi="Times New Roman" w:cs="Times New Roman"/>
          <w:sz w:val="24"/>
          <w:szCs w:val="24"/>
        </w:rPr>
      </w:pPr>
    </w:p>
    <w:p w14:paraId="32F82DC6" w14:textId="77777777" w:rsidR="007E4EBD" w:rsidRDefault="007E4EBD" w:rsidP="007E4EBD">
      <w:pPr>
        <w:spacing w:after="0" w:line="360" w:lineRule="auto"/>
        <w:jc w:val="both"/>
        <w:rPr>
          <w:rFonts w:ascii="Times New Roman" w:hAnsi="Times New Roman" w:cs="Times New Roman"/>
          <w:sz w:val="24"/>
          <w:szCs w:val="24"/>
        </w:rPr>
      </w:pPr>
      <w:r w:rsidRPr="002C26FE">
        <w:rPr>
          <w:rFonts w:ascii="Times New Roman" w:hAnsi="Times New Roman" w:cs="Times New Roman"/>
          <w:sz w:val="24"/>
          <w:szCs w:val="24"/>
        </w:rPr>
        <w:t xml:space="preserve">A la paciente se le diagnosticó una neutropenia febril (sepsis) secundaria a síndrome de Felty. Se le instauró una hidratación con cristaloides de acuerdo a las demandas del paciente y su enfermedad, que en conjunto con los antimicrobianos de amplio espectro, el meronem (bulbo 1g) 1 bulbo cada 8 horas más vancomicina (bulbo 500 mg) a una dosis de 15 mg/kg/dosis </w:t>
      </w:r>
      <w:r>
        <w:rPr>
          <w:rFonts w:ascii="Times New Roman" w:hAnsi="Times New Roman" w:cs="Times New Roman"/>
          <w:sz w:val="24"/>
          <w:szCs w:val="24"/>
        </w:rPr>
        <w:t>2</w:t>
      </w:r>
      <w:r w:rsidRPr="002C26FE">
        <w:rPr>
          <w:rFonts w:ascii="Times New Roman" w:hAnsi="Times New Roman" w:cs="Times New Roman"/>
          <w:sz w:val="24"/>
          <w:szCs w:val="24"/>
        </w:rPr>
        <w:t xml:space="preserve"> veces por día; ambos antimicrobianos ajustados a la función renal del paciente y administrado</w:t>
      </w:r>
      <w:r>
        <w:rPr>
          <w:rFonts w:ascii="Times New Roman" w:hAnsi="Times New Roman" w:cs="Times New Roman"/>
          <w:sz w:val="24"/>
          <w:szCs w:val="24"/>
        </w:rPr>
        <w:t>s</w:t>
      </w:r>
      <w:r w:rsidRPr="002C26FE">
        <w:rPr>
          <w:rFonts w:ascii="Times New Roman" w:hAnsi="Times New Roman" w:cs="Times New Roman"/>
          <w:sz w:val="24"/>
          <w:szCs w:val="24"/>
        </w:rPr>
        <w:t xml:space="preserve"> por vía </w:t>
      </w:r>
      <w:r>
        <w:rPr>
          <w:rFonts w:ascii="Times New Roman" w:hAnsi="Times New Roman" w:cs="Times New Roman"/>
          <w:sz w:val="24"/>
          <w:szCs w:val="24"/>
        </w:rPr>
        <w:t>i.v.</w:t>
      </w:r>
      <w:r w:rsidRPr="002C26FE">
        <w:rPr>
          <w:rFonts w:ascii="Times New Roman" w:hAnsi="Times New Roman" w:cs="Times New Roman"/>
          <w:sz w:val="24"/>
          <w:szCs w:val="24"/>
        </w:rPr>
        <w:t>. Se le reincorporó la prednisona oral (a 1 mg/kg/día)</w:t>
      </w:r>
      <w:r>
        <w:rPr>
          <w:rFonts w:ascii="Times New Roman" w:hAnsi="Times New Roman" w:cs="Times New Roman"/>
          <w:sz w:val="24"/>
          <w:szCs w:val="24"/>
        </w:rPr>
        <w:t>,</w:t>
      </w:r>
      <w:r w:rsidRPr="002C26FE">
        <w:rPr>
          <w:rFonts w:ascii="Times New Roman" w:hAnsi="Times New Roman" w:cs="Times New Roman"/>
          <w:sz w:val="24"/>
          <w:szCs w:val="24"/>
        </w:rPr>
        <w:t xml:space="preserve"> la levotiroxina oral (100 µg) 1 tableta al día, además se le asocia al tratamiento la atorvastatina</w:t>
      </w:r>
      <w:r>
        <w:rPr>
          <w:rFonts w:ascii="Times New Roman" w:hAnsi="Times New Roman" w:cs="Times New Roman"/>
          <w:sz w:val="24"/>
          <w:szCs w:val="24"/>
        </w:rPr>
        <w:t>,</w:t>
      </w:r>
      <w:r w:rsidRPr="002C26FE">
        <w:rPr>
          <w:rFonts w:ascii="Times New Roman" w:hAnsi="Times New Roman" w:cs="Times New Roman"/>
          <w:sz w:val="24"/>
          <w:szCs w:val="24"/>
        </w:rPr>
        <w:t xml:space="preserve"> 2 tabletas de 20 mg al día y la eritropoyetina a una dosis subcutánea de 4000 U </w:t>
      </w:r>
      <w:r>
        <w:rPr>
          <w:rFonts w:ascii="Times New Roman" w:hAnsi="Times New Roman" w:cs="Times New Roman"/>
          <w:sz w:val="24"/>
          <w:szCs w:val="24"/>
        </w:rPr>
        <w:t>3</w:t>
      </w:r>
      <w:r w:rsidRPr="002C26FE">
        <w:rPr>
          <w:rFonts w:ascii="Times New Roman" w:hAnsi="Times New Roman" w:cs="Times New Roman"/>
          <w:sz w:val="24"/>
          <w:szCs w:val="24"/>
        </w:rPr>
        <w:t xml:space="preserve"> veces a la semana, ambos medicamentos (atorvastatina y eritropoyetina) usados para modular la respuesta inmune y evitar la lesión endotelial. Se asoció la fraxiheparina sódica (0,6 mL) a una dosis de 0,1 mL por cada 10 </w:t>
      </w:r>
      <w:r>
        <w:rPr>
          <w:rFonts w:ascii="Times New Roman" w:hAnsi="Times New Roman" w:cs="Times New Roman"/>
          <w:sz w:val="24"/>
          <w:szCs w:val="24"/>
        </w:rPr>
        <w:t>k</w:t>
      </w:r>
      <w:r w:rsidRPr="002C26FE">
        <w:rPr>
          <w:rFonts w:ascii="Times New Roman" w:hAnsi="Times New Roman" w:cs="Times New Roman"/>
          <w:sz w:val="24"/>
          <w:szCs w:val="24"/>
        </w:rPr>
        <w:t>g de peso y se le realizaron curas progresivas de las úlceras cutáneas del miembro inferior izquierdo. Se logró paulatinamente la cicatrización de las lesiones ulcerativas, la erradicación de la infección con recuperación de los valores normales de neutrófilos y la posterior recuperación de la paciente.</w:t>
      </w:r>
    </w:p>
    <w:p w14:paraId="7600C49E" w14:textId="77777777" w:rsidR="007E4EBD" w:rsidRPr="002C26FE" w:rsidRDefault="007E4EBD" w:rsidP="007E4EBD">
      <w:pPr>
        <w:spacing w:after="0" w:line="360" w:lineRule="auto"/>
        <w:jc w:val="both"/>
        <w:rPr>
          <w:rFonts w:ascii="Times New Roman" w:hAnsi="Times New Roman" w:cs="Times New Roman"/>
          <w:sz w:val="24"/>
          <w:szCs w:val="24"/>
        </w:rPr>
      </w:pPr>
    </w:p>
    <w:p w14:paraId="1683CA60" w14:textId="77777777" w:rsidR="007E4EBD" w:rsidRDefault="007E4EBD" w:rsidP="007E4EBD">
      <w:pPr>
        <w:spacing w:after="0" w:line="360" w:lineRule="auto"/>
        <w:jc w:val="center"/>
        <w:rPr>
          <w:rFonts w:ascii="Times New Roman" w:hAnsi="Times New Roman" w:cs="Times New Roman"/>
          <w:b/>
          <w:sz w:val="24"/>
          <w:szCs w:val="24"/>
        </w:rPr>
      </w:pPr>
    </w:p>
    <w:p w14:paraId="114E9C0E" w14:textId="77777777" w:rsidR="003C63EA" w:rsidRDefault="003C63EA">
      <w:pPr>
        <w:suppressAutoHyphens w:val="0"/>
        <w:spacing w:after="0" w:line="240" w:lineRule="auto"/>
        <w:rPr>
          <w:rFonts w:ascii="Times New Roman" w:hAnsi="Times New Roman" w:cs="Times New Roman"/>
          <w:b/>
          <w:sz w:val="32"/>
          <w:szCs w:val="32"/>
        </w:rPr>
      </w:pPr>
      <w:r>
        <w:rPr>
          <w:rFonts w:ascii="Times New Roman" w:hAnsi="Times New Roman" w:cs="Times New Roman"/>
          <w:b/>
          <w:sz w:val="32"/>
          <w:szCs w:val="32"/>
        </w:rPr>
        <w:br w:type="page"/>
      </w:r>
    </w:p>
    <w:p w14:paraId="58F78AC8" w14:textId="7D751FB7" w:rsidR="007E4EBD" w:rsidRPr="004B258C" w:rsidRDefault="007E4EBD" w:rsidP="007E4EBD">
      <w:pPr>
        <w:spacing w:after="0" w:line="360" w:lineRule="auto"/>
        <w:jc w:val="center"/>
        <w:rPr>
          <w:rFonts w:ascii="Times New Roman" w:hAnsi="Times New Roman" w:cs="Times New Roman"/>
          <w:b/>
          <w:sz w:val="32"/>
          <w:szCs w:val="32"/>
        </w:rPr>
      </w:pPr>
      <w:r w:rsidRPr="004B258C">
        <w:rPr>
          <w:rFonts w:ascii="Times New Roman" w:hAnsi="Times New Roman" w:cs="Times New Roman"/>
          <w:b/>
          <w:sz w:val="32"/>
          <w:szCs w:val="32"/>
        </w:rPr>
        <w:lastRenderedPageBreak/>
        <w:t>COMENTARIOS</w:t>
      </w:r>
    </w:p>
    <w:p w14:paraId="2B94068E" w14:textId="77777777" w:rsidR="007E4EBD" w:rsidRPr="002C26FE" w:rsidRDefault="007E4EBD" w:rsidP="007E4EBD">
      <w:pPr>
        <w:spacing w:after="0" w:line="360" w:lineRule="auto"/>
        <w:jc w:val="both"/>
        <w:rPr>
          <w:rFonts w:ascii="Times New Roman" w:hAnsi="Times New Roman" w:cs="Times New Roman"/>
          <w:sz w:val="24"/>
          <w:szCs w:val="24"/>
        </w:rPr>
      </w:pPr>
      <w:r w:rsidRPr="002C26FE">
        <w:rPr>
          <w:rFonts w:ascii="Times New Roman" w:hAnsi="Times New Roman" w:cs="Times New Roman"/>
          <w:sz w:val="24"/>
          <w:szCs w:val="24"/>
        </w:rPr>
        <w:t>La artritis reumatoide es una forma clínica de las artritis inflamatorias crónicas, con importantes manifestaciones extrarticulares. La tríada constituida por artritis reumatoide</w:t>
      </w:r>
      <w:r>
        <w:rPr>
          <w:rFonts w:ascii="Times New Roman" w:hAnsi="Times New Roman" w:cs="Times New Roman"/>
          <w:sz w:val="24"/>
          <w:szCs w:val="24"/>
        </w:rPr>
        <w:t xml:space="preserve">, </w:t>
      </w:r>
      <w:r w:rsidRPr="002C26FE">
        <w:rPr>
          <w:rFonts w:ascii="Times New Roman" w:hAnsi="Times New Roman" w:cs="Times New Roman"/>
          <w:sz w:val="24"/>
          <w:szCs w:val="24"/>
        </w:rPr>
        <w:t xml:space="preserve">esplenomegalia </w:t>
      </w:r>
      <w:r>
        <w:rPr>
          <w:rFonts w:ascii="Times New Roman" w:hAnsi="Times New Roman" w:cs="Times New Roman"/>
          <w:sz w:val="24"/>
          <w:szCs w:val="24"/>
        </w:rPr>
        <w:t>y</w:t>
      </w:r>
      <w:r w:rsidRPr="002C26FE">
        <w:rPr>
          <w:rFonts w:ascii="Times New Roman" w:hAnsi="Times New Roman" w:cs="Times New Roman"/>
          <w:sz w:val="24"/>
          <w:szCs w:val="24"/>
        </w:rPr>
        <w:t xml:space="preserve"> neutropenia es la base del diagnóstico del síndrome de Felty.</w:t>
      </w:r>
      <w:r w:rsidRPr="002C26FE">
        <w:rPr>
          <w:rFonts w:ascii="Times New Roman" w:hAnsi="Times New Roman" w:cs="Times New Roman"/>
          <w:sz w:val="24"/>
          <w:szCs w:val="24"/>
          <w:vertAlign w:val="superscript"/>
        </w:rPr>
        <w:t>(6,7)</w:t>
      </w:r>
    </w:p>
    <w:p w14:paraId="68CC3EA4" w14:textId="77777777" w:rsidR="007E4EBD" w:rsidRPr="002C26FE" w:rsidRDefault="007E4EBD" w:rsidP="007E4EBD">
      <w:pPr>
        <w:spacing w:after="0" w:line="360" w:lineRule="auto"/>
        <w:jc w:val="both"/>
        <w:rPr>
          <w:rFonts w:ascii="Times New Roman" w:hAnsi="Times New Roman" w:cs="Times New Roman"/>
          <w:sz w:val="24"/>
          <w:szCs w:val="24"/>
        </w:rPr>
      </w:pPr>
      <w:r w:rsidRPr="002C26FE">
        <w:rPr>
          <w:rFonts w:ascii="Times New Roman" w:hAnsi="Times New Roman" w:cs="Times New Roman"/>
          <w:sz w:val="24"/>
          <w:szCs w:val="24"/>
        </w:rPr>
        <w:t>Las úlceras cutáneas en los miembros inferiores a veces son el principal indicador de esta enfermedad, siempre y cuando se descarte el uso del metrotexate en los pacientes con diagnóstico de artritis reumatoide</w:t>
      </w:r>
      <w:r>
        <w:rPr>
          <w:rFonts w:ascii="Times New Roman" w:hAnsi="Times New Roman" w:cs="Times New Roman"/>
          <w:sz w:val="24"/>
          <w:szCs w:val="24"/>
        </w:rPr>
        <w:t>;</w:t>
      </w:r>
      <w:r w:rsidRPr="002C26FE">
        <w:rPr>
          <w:rFonts w:ascii="Times New Roman" w:hAnsi="Times New Roman" w:cs="Times New Roman"/>
          <w:sz w:val="24"/>
          <w:szCs w:val="24"/>
        </w:rPr>
        <w:t xml:space="preserve"> su aparición es dependiente de la vasculitis y de los trastornos isquémicos locales. La neutropenia está definida por valores de conteo absoluto de neutrófilos inferiores a los 2000/mm</w:t>
      </w:r>
      <w:r w:rsidRPr="002C26FE">
        <w:rPr>
          <w:rFonts w:ascii="Times New Roman" w:hAnsi="Times New Roman" w:cs="Times New Roman"/>
          <w:sz w:val="24"/>
          <w:szCs w:val="24"/>
          <w:vertAlign w:val="superscript"/>
        </w:rPr>
        <w:t>3</w:t>
      </w:r>
      <w:r w:rsidRPr="002C26FE">
        <w:rPr>
          <w:rFonts w:ascii="Times New Roman" w:hAnsi="Times New Roman" w:cs="Times New Roman"/>
          <w:sz w:val="24"/>
          <w:szCs w:val="24"/>
        </w:rPr>
        <w:t>, aparece entre la primera y segunda década desde la aparición de la artritis reumatoide; su patogénesis no está bien definida hasta el momento. La neutropenia y la esplenomegalia en el síndrome de Felty tienen un origen multifactorial.</w:t>
      </w:r>
      <w:r w:rsidRPr="002C26FE">
        <w:rPr>
          <w:rFonts w:ascii="Times New Roman" w:hAnsi="Times New Roman" w:cs="Times New Roman"/>
          <w:sz w:val="24"/>
          <w:szCs w:val="24"/>
          <w:vertAlign w:val="superscript"/>
        </w:rPr>
        <w:t>(7,8,9,10)</w:t>
      </w:r>
    </w:p>
    <w:p w14:paraId="7E8BF73C" w14:textId="77777777" w:rsidR="007E4EBD" w:rsidRPr="002C26FE" w:rsidRDefault="007E4EBD" w:rsidP="007E4EBD">
      <w:pPr>
        <w:spacing w:after="0" w:line="360" w:lineRule="auto"/>
        <w:jc w:val="both"/>
        <w:rPr>
          <w:rFonts w:ascii="Times New Roman" w:hAnsi="Times New Roman" w:cs="Times New Roman"/>
          <w:sz w:val="24"/>
          <w:szCs w:val="24"/>
        </w:rPr>
      </w:pPr>
      <w:r w:rsidRPr="002C26FE">
        <w:rPr>
          <w:rFonts w:ascii="Times New Roman" w:hAnsi="Times New Roman" w:cs="Times New Roman"/>
          <w:sz w:val="24"/>
          <w:szCs w:val="24"/>
        </w:rPr>
        <w:t xml:space="preserve">El tratamiento debe estar dirigido al control de la enfermedad de base (artritis reumatoide), mediante el uso de agentes como los glucocorticoides (con efectos antiinflamatorios – inmunosupresores). Los fármacos modificadores de la enfermedad como el metrotexate (no utilizado en la paciente por afectar la replicación celular de la epidermis) </w:t>
      </w:r>
      <w:r>
        <w:rPr>
          <w:rFonts w:ascii="Times New Roman" w:hAnsi="Times New Roman" w:cs="Times New Roman"/>
          <w:sz w:val="24"/>
          <w:szCs w:val="24"/>
        </w:rPr>
        <w:t>y</w:t>
      </w:r>
      <w:r w:rsidRPr="002C26FE">
        <w:rPr>
          <w:rFonts w:ascii="Times New Roman" w:hAnsi="Times New Roman" w:cs="Times New Roman"/>
          <w:sz w:val="24"/>
          <w:szCs w:val="24"/>
        </w:rPr>
        <w:t xml:space="preserve"> el tratamiento oportuno de los procesos infecciosos presentes</w:t>
      </w:r>
      <w:r>
        <w:rPr>
          <w:rFonts w:ascii="Times New Roman" w:hAnsi="Times New Roman" w:cs="Times New Roman"/>
          <w:sz w:val="24"/>
          <w:szCs w:val="24"/>
        </w:rPr>
        <w:t>,</w:t>
      </w:r>
      <w:r w:rsidRPr="002C26FE">
        <w:rPr>
          <w:rFonts w:ascii="Times New Roman" w:hAnsi="Times New Roman" w:cs="Times New Roman"/>
          <w:sz w:val="24"/>
          <w:szCs w:val="24"/>
        </w:rPr>
        <w:t xml:space="preserve"> a través de una terapéutica antimicrobiana empírica de amplio espectro o específica, ya que las infecciones constituyen la principal causa de mortalidad.</w:t>
      </w:r>
      <w:r w:rsidRPr="002C26FE">
        <w:rPr>
          <w:rFonts w:ascii="Times New Roman" w:hAnsi="Times New Roman" w:cs="Times New Roman"/>
          <w:sz w:val="24"/>
          <w:szCs w:val="24"/>
          <w:vertAlign w:val="superscript"/>
        </w:rPr>
        <w:t>(7,10,11)</w:t>
      </w:r>
    </w:p>
    <w:p w14:paraId="5A98BAF2" w14:textId="77777777" w:rsidR="007E4EBD" w:rsidRPr="002C26FE" w:rsidRDefault="007E4EBD" w:rsidP="007E4EBD">
      <w:pPr>
        <w:spacing w:after="0" w:line="360" w:lineRule="auto"/>
        <w:jc w:val="both"/>
        <w:rPr>
          <w:rFonts w:ascii="Times New Roman" w:hAnsi="Times New Roman" w:cs="Times New Roman"/>
          <w:sz w:val="24"/>
          <w:szCs w:val="24"/>
        </w:rPr>
      </w:pPr>
      <w:r w:rsidRPr="002C26FE">
        <w:rPr>
          <w:rFonts w:ascii="Times New Roman" w:hAnsi="Times New Roman" w:cs="Times New Roman"/>
          <w:sz w:val="24"/>
          <w:szCs w:val="24"/>
        </w:rPr>
        <w:t>El uso de la atorvastatina y la eritropoyetina en la paciente, está fundamentado en las investigaciones que han demostrado los efectos inmunomoduladores de la atorvastatina</w:t>
      </w:r>
      <w:r>
        <w:rPr>
          <w:rFonts w:ascii="Times New Roman" w:hAnsi="Times New Roman" w:cs="Times New Roman"/>
          <w:sz w:val="24"/>
          <w:szCs w:val="24"/>
        </w:rPr>
        <w:t>,</w:t>
      </w:r>
      <w:r w:rsidRPr="002C26FE">
        <w:rPr>
          <w:rFonts w:ascii="Times New Roman" w:hAnsi="Times New Roman" w:cs="Times New Roman"/>
          <w:sz w:val="24"/>
          <w:szCs w:val="24"/>
        </w:rPr>
        <w:t xml:space="preserve"> asociado a la disminución de la mortalidad por sepsis</w:t>
      </w:r>
      <w:r>
        <w:rPr>
          <w:rFonts w:ascii="Times New Roman" w:hAnsi="Times New Roman" w:cs="Times New Roman"/>
          <w:sz w:val="24"/>
          <w:szCs w:val="24"/>
        </w:rPr>
        <w:t>,</w:t>
      </w:r>
      <w:r w:rsidRPr="002C26FE">
        <w:rPr>
          <w:rFonts w:ascii="Times New Roman" w:hAnsi="Times New Roman" w:cs="Times New Roman"/>
          <w:sz w:val="24"/>
          <w:szCs w:val="24"/>
        </w:rPr>
        <w:t xml:space="preserve"> debido a su capacidad de inhibir una parte de los reactantes de fase aguda y a sus propiedades antioxidantes</w:t>
      </w:r>
      <w:r>
        <w:rPr>
          <w:rFonts w:ascii="Times New Roman" w:hAnsi="Times New Roman" w:cs="Times New Roman"/>
          <w:sz w:val="24"/>
          <w:szCs w:val="24"/>
        </w:rPr>
        <w:t>.</w:t>
      </w:r>
      <w:r w:rsidRPr="002C26FE">
        <w:rPr>
          <w:rFonts w:ascii="Times New Roman" w:hAnsi="Times New Roman" w:cs="Times New Roman"/>
          <w:sz w:val="24"/>
          <w:szCs w:val="24"/>
        </w:rPr>
        <w:t xml:space="preserve"> </w:t>
      </w:r>
      <w:r>
        <w:rPr>
          <w:rFonts w:ascii="Times New Roman" w:hAnsi="Times New Roman" w:cs="Times New Roman"/>
          <w:sz w:val="24"/>
          <w:szCs w:val="24"/>
        </w:rPr>
        <w:t>L</w:t>
      </w:r>
      <w:r w:rsidRPr="002C26FE">
        <w:rPr>
          <w:rFonts w:ascii="Times New Roman" w:hAnsi="Times New Roman" w:cs="Times New Roman"/>
          <w:sz w:val="24"/>
          <w:szCs w:val="24"/>
        </w:rPr>
        <w:t>a eritropoyetina asociada al uso de anticoagulantes del tipo de las heparina impide la disfunción endotelial y los fenómenos trombogénicos.</w:t>
      </w:r>
      <w:r w:rsidRPr="002C26FE">
        <w:rPr>
          <w:rFonts w:ascii="Times New Roman" w:hAnsi="Times New Roman" w:cs="Times New Roman"/>
          <w:sz w:val="24"/>
          <w:szCs w:val="24"/>
          <w:vertAlign w:val="superscript"/>
        </w:rPr>
        <w:t>(12,13,14)</w:t>
      </w:r>
    </w:p>
    <w:p w14:paraId="3048C363" w14:textId="77777777" w:rsidR="007E4EBD" w:rsidRDefault="007E4EBD" w:rsidP="007E4EBD">
      <w:pPr>
        <w:spacing w:after="0" w:line="360" w:lineRule="auto"/>
        <w:jc w:val="both"/>
        <w:rPr>
          <w:rFonts w:ascii="Times New Roman" w:hAnsi="Times New Roman" w:cs="Times New Roman"/>
          <w:sz w:val="24"/>
          <w:szCs w:val="24"/>
        </w:rPr>
      </w:pPr>
      <w:r w:rsidRPr="002C26FE">
        <w:rPr>
          <w:rFonts w:ascii="Times New Roman" w:hAnsi="Times New Roman" w:cs="Times New Roman"/>
          <w:sz w:val="24"/>
          <w:szCs w:val="24"/>
        </w:rPr>
        <w:t>Se concluye que al realizar el diagnóstico de síndrome de Felty, lo esencial es alcanzar un control inmediato de la enfermedad de base y de las comorbilidades asociadas al enfermo y a través del tratamiento obtener un incremento de la supervivencia de los pacientes.</w:t>
      </w:r>
    </w:p>
    <w:p w14:paraId="727C6EE6" w14:textId="77777777" w:rsidR="007E4EBD" w:rsidRPr="002C26FE" w:rsidRDefault="007E4EBD" w:rsidP="007E4EBD">
      <w:pPr>
        <w:spacing w:after="0" w:line="360" w:lineRule="auto"/>
        <w:jc w:val="both"/>
        <w:rPr>
          <w:rFonts w:ascii="Times New Roman" w:hAnsi="Times New Roman" w:cs="Times New Roman"/>
          <w:sz w:val="24"/>
          <w:szCs w:val="24"/>
        </w:rPr>
      </w:pPr>
    </w:p>
    <w:p w14:paraId="2AB767C4" w14:textId="77777777" w:rsidR="007E4EBD" w:rsidRPr="00CE5B08" w:rsidRDefault="007E4EBD" w:rsidP="007E4EBD">
      <w:pPr>
        <w:spacing w:after="0" w:line="360" w:lineRule="auto"/>
        <w:jc w:val="center"/>
        <w:rPr>
          <w:rFonts w:ascii="Times New Roman" w:hAnsi="Times New Roman" w:cs="Times New Roman"/>
          <w:b/>
          <w:sz w:val="24"/>
          <w:szCs w:val="24"/>
        </w:rPr>
      </w:pPr>
    </w:p>
    <w:p w14:paraId="59148791" w14:textId="77777777" w:rsidR="007E4EBD" w:rsidRPr="005926D1" w:rsidRDefault="007E4EBD" w:rsidP="007E4EBD">
      <w:pPr>
        <w:spacing w:after="0" w:line="360" w:lineRule="auto"/>
        <w:jc w:val="center"/>
        <w:rPr>
          <w:rFonts w:ascii="Times New Roman" w:hAnsi="Times New Roman" w:cs="Times New Roman"/>
          <w:b/>
          <w:sz w:val="32"/>
          <w:szCs w:val="32"/>
          <w:lang w:val="en-US"/>
        </w:rPr>
      </w:pPr>
      <w:r w:rsidRPr="005926D1">
        <w:rPr>
          <w:rFonts w:ascii="Times New Roman" w:hAnsi="Times New Roman" w:cs="Times New Roman"/>
          <w:b/>
          <w:sz w:val="32"/>
          <w:szCs w:val="32"/>
          <w:lang w:val="en-US"/>
        </w:rPr>
        <w:lastRenderedPageBreak/>
        <w:t>REFERENCIAS BIBLIOGRÁFICAS</w:t>
      </w:r>
    </w:p>
    <w:p w14:paraId="03A1BCD1" w14:textId="77777777" w:rsidR="007E4EBD" w:rsidRPr="002C26FE" w:rsidRDefault="007E4EBD" w:rsidP="007E4EBD">
      <w:pPr>
        <w:spacing w:after="0" w:line="360" w:lineRule="auto"/>
        <w:rPr>
          <w:rFonts w:ascii="Times New Roman" w:hAnsi="Times New Roman" w:cs="Times New Roman"/>
          <w:sz w:val="24"/>
          <w:szCs w:val="24"/>
          <w:lang w:val="en-US"/>
        </w:rPr>
      </w:pPr>
      <w:r w:rsidRPr="002C26FE">
        <w:rPr>
          <w:rFonts w:ascii="Times New Roman" w:hAnsi="Times New Roman" w:cs="Times New Roman"/>
          <w:sz w:val="24"/>
          <w:szCs w:val="24"/>
          <w:lang w:val="en-US"/>
        </w:rPr>
        <w:t xml:space="preserve">1. Nimri D, Abdallah MA, Waqas QA, Abdalla A, Tantoush H. Severe Neutropenia Complicated with Necrotizing Fasciitis Unveils a Diagnosis of Rheumatoid Arthritis: A Case Report. Cureus. 2019 [acceso: 29/10/2021]; 11(2): 4079. Disponible en: </w:t>
      </w:r>
      <w:hyperlink r:id="rId13">
        <w:r w:rsidRPr="002C26FE">
          <w:rPr>
            <w:rStyle w:val="EnlacedeInternet"/>
            <w:rFonts w:ascii="Times New Roman" w:hAnsi="Times New Roman" w:cs="Times New Roman"/>
            <w:sz w:val="24"/>
            <w:szCs w:val="24"/>
            <w:lang w:val="en-US"/>
          </w:rPr>
          <w:t>https://dx.doi.org/10.7759/cureus.4079</w:t>
        </w:r>
      </w:hyperlink>
    </w:p>
    <w:p w14:paraId="6ED54A0E" w14:textId="77777777" w:rsidR="007E4EBD" w:rsidRPr="002C26FE" w:rsidRDefault="007E4EBD" w:rsidP="007E4EBD">
      <w:pPr>
        <w:spacing w:after="0" w:line="360" w:lineRule="auto"/>
        <w:rPr>
          <w:rFonts w:ascii="Times New Roman" w:hAnsi="Times New Roman" w:cs="Times New Roman"/>
          <w:sz w:val="24"/>
          <w:szCs w:val="24"/>
        </w:rPr>
      </w:pPr>
      <w:r w:rsidRPr="002C26FE">
        <w:rPr>
          <w:rFonts w:ascii="Times New Roman" w:hAnsi="Times New Roman" w:cs="Times New Roman"/>
          <w:sz w:val="24"/>
          <w:szCs w:val="24"/>
          <w:lang w:val="en-US"/>
        </w:rPr>
        <w:t xml:space="preserve">2. Wu P, Sun W, Li J. Rheumatoid arthritis patients with peripheral blood cell reduction should be evaluated for latent Felty syndrome: A case report. </w:t>
      </w:r>
      <w:r w:rsidRPr="002C26FE">
        <w:rPr>
          <w:rFonts w:ascii="Times New Roman" w:hAnsi="Times New Roman" w:cs="Times New Roman"/>
          <w:sz w:val="24"/>
          <w:szCs w:val="24"/>
        </w:rPr>
        <w:t xml:space="preserve">Medicine. 2020 [acceso: 29/10/2021]; 99(51): 23608. Disponible en: </w:t>
      </w:r>
      <w:hyperlink r:id="rId14">
        <w:r w:rsidRPr="002C26FE">
          <w:rPr>
            <w:rStyle w:val="EnlacedeInternet"/>
            <w:rFonts w:ascii="Times New Roman" w:hAnsi="Times New Roman" w:cs="Times New Roman"/>
            <w:sz w:val="24"/>
            <w:szCs w:val="24"/>
          </w:rPr>
          <w:t>http://dx.doi.org/10.1097/MD.0000000000023608</w:t>
        </w:r>
      </w:hyperlink>
    </w:p>
    <w:p w14:paraId="0786FAC4" w14:textId="77777777" w:rsidR="007E4EBD" w:rsidRPr="00720B37" w:rsidRDefault="007E4EBD" w:rsidP="007E4EBD">
      <w:pPr>
        <w:spacing w:after="0" w:line="360" w:lineRule="auto"/>
        <w:rPr>
          <w:rFonts w:ascii="Times New Roman" w:hAnsi="Times New Roman" w:cs="Times New Roman"/>
          <w:sz w:val="24"/>
          <w:szCs w:val="24"/>
        </w:rPr>
      </w:pPr>
      <w:r w:rsidRPr="002C26FE">
        <w:rPr>
          <w:rFonts w:ascii="Times New Roman" w:hAnsi="Times New Roman" w:cs="Times New Roman"/>
          <w:sz w:val="24"/>
          <w:szCs w:val="24"/>
        </w:rPr>
        <w:t xml:space="preserve">3. Ocampo JJ, Fregoso YA, Llorente L. Pancytopenia as Manifestation of Nonarticular Felty Syndrome. </w:t>
      </w:r>
      <w:r w:rsidRPr="00720B37">
        <w:rPr>
          <w:rFonts w:ascii="Times New Roman" w:hAnsi="Times New Roman" w:cs="Times New Roman"/>
          <w:sz w:val="24"/>
          <w:szCs w:val="24"/>
        </w:rPr>
        <w:t xml:space="preserve">JCR. 2018 [acceso: 29/10/2021]; 27(8S): S613-14. Disponible en: </w:t>
      </w:r>
      <w:hyperlink r:id="rId15">
        <w:r w:rsidRPr="00720B37">
          <w:rPr>
            <w:rStyle w:val="EnlacedeInternet"/>
            <w:rFonts w:ascii="Times New Roman" w:hAnsi="Times New Roman" w:cs="Times New Roman"/>
            <w:sz w:val="24"/>
            <w:szCs w:val="24"/>
          </w:rPr>
          <w:t>https://dx.doi.org/10.1097/RHU.0000000000000906</w:t>
        </w:r>
      </w:hyperlink>
    </w:p>
    <w:p w14:paraId="604EF875" w14:textId="77777777" w:rsidR="007E4EBD" w:rsidRPr="002C26FE" w:rsidRDefault="007E4EBD" w:rsidP="007E4EBD">
      <w:pPr>
        <w:spacing w:after="0" w:line="360" w:lineRule="auto"/>
        <w:rPr>
          <w:rFonts w:ascii="Times New Roman" w:hAnsi="Times New Roman" w:cs="Times New Roman"/>
          <w:sz w:val="24"/>
          <w:szCs w:val="24"/>
        </w:rPr>
      </w:pPr>
      <w:r w:rsidRPr="002C26FE">
        <w:rPr>
          <w:rFonts w:ascii="Times New Roman" w:hAnsi="Times New Roman" w:cs="Times New Roman"/>
          <w:sz w:val="24"/>
          <w:szCs w:val="24"/>
          <w:lang w:val="en-US"/>
        </w:rPr>
        <w:t xml:space="preserve">4. Holbrook WP, Turner EP, Maciver JE. Felty's Syndrome. British Journal of Oral Surgery. </w:t>
      </w:r>
      <w:r w:rsidRPr="002C26FE">
        <w:rPr>
          <w:rFonts w:ascii="Times New Roman" w:hAnsi="Times New Roman" w:cs="Times New Roman"/>
          <w:sz w:val="24"/>
          <w:szCs w:val="24"/>
        </w:rPr>
        <w:t>1980 [acceso: 31/10/2021]; 17</w:t>
      </w:r>
      <w:r>
        <w:rPr>
          <w:rFonts w:ascii="Times New Roman" w:hAnsi="Times New Roman" w:cs="Times New Roman"/>
          <w:sz w:val="24"/>
          <w:szCs w:val="24"/>
        </w:rPr>
        <w:t>(2)</w:t>
      </w:r>
      <w:r w:rsidRPr="002C26FE">
        <w:rPr>
          <w:rFonts w:ascii="Times New Roman" w:hAnsi="Times New Roman" w:cs="Times New Roman"/>
          <w:sz w:val="24"/>
          <w:szCs w:val="24"/>
        </w:rPr>
        <w:t xml:space="preserve">: 157 – 160. Disponible en: </w:t>
      </w:r>
      <w:hyperlink r:id="rId16">
        <w:r w:rsidRPr="002C26FE">
          <w:rPr>
            <w:rStyle w:val="EnlacedeInternet"/>
            <w:rFonts w:ascii="Times New Roman" w:hAnsi="Times New Roman" w:cs="Times New Roman"/>
            <w:sz w:val="24"/>
            <w:szCs w:val="24"/>
          </w:rPr>
          <w:t>https://doi.org/10.1016/S0007-117X(79)80043-8</w:t>
        </w:r>
      </w:hyperlink>
    </w:p>
    <w:p w14:paraId="509E96BD" w14:textId="77777777" w:rsidR="007E4EBD" w:rsidRPr="002C26FE" w:rsidRDefault="007E4EBD" w:rsidP="007E4EBD">
      <w:pPr>
        <w:spacing w:after="0" w:line="360" w:lineRule="auto"/>
        <w:rPr>
          <w:rFonts w:ascii="Times New Roman" w:hAnsi="Times New Roman" w:cs="Times New Roman"/>
          <w:sz w:val="24"/>
          <w:szCs w:val="24"/>
        </w:rPr>
      </w:pPr>
      <w:r w:rsidRPr="002C26FE">
        <w:rPr>
          <w:rFonts w:ascii="Times New Roman" w:hAnsi="Times New Roman" w:cs="Times New Roman"/>
          <w:sz w:val="24"/>
          <w:szCs w:val="24"/>
        </w:rPr>
        <w:t xml:space="preserve">5. Aluja Jaramillo F, Mahecha J. Manifestaciones torácicas y dermatológicas de las enfermedades sistémicas: claves para el radiólogo general. Rev. Colomb. Radiol. 2020 [acceso: 31/10/2021]; 31(4): 5435 – 5446. Disponible en: </w:t>
      </w:r>
      <w:hyperlink r:id="rId17">
        <w:r w:rsidRPr="002C26FE">
          <w:rPr>
            <w:rStyle w:val="EnlacedeInternet"/>
            <w:rFonts w:ascii="Times New Roman" w:hAnsi="Times New Roman" w:cs="Times New Roman"/>
            <w:sz w:val="24"/>
            <w:szCs w:val="24"/>
          </w:rPr>
          <w:t>http://contenido.acronline.org/Publicaciones/RCR/RCR31-4/RCR-31-4-03_Manifestaciones.pdf</w:t>
        </w:r>
      </w:hyperlink>
    </w:p>
    <w:p w14:paraId="6F09C2A0" w14:textId="77777777" w:rsidR="007E4EBD" w:rsidRPr="002C26FE" w:rsidRDefault="007E4EBD" w:rsidP="007E4EBD">
      <w:pPr>
        <w:spacing w:after="0" w:line="360" w:lineRule="auto"/>
        <w:rPr>
          <w:rFonts w:ascii="Times New Roman" w:hAnsi="Times New Roman" w:cs="Times New Roman"/>
          <w:sz w:val="24"/>
          <w:szCs w:val="24"/>
        </w:rPr>
      </w:pPr>
      <w:r w:rsidRPr="002C26FE">
        <w:rPr>
          <w:rFonts w:ascii="Times New Roman" w:hAnsi="Times New Roman" w:cs="Times New Roman"/>
          <w:sz w:val="24"/>
          <w:szCs w:val="24"/>
          <w:lang w:val="en-US"/>
        </w:rPr>
        <w:t xml:space="preserve">6. Yazıcı A, Uçar A, Mehtap Ö, Gönüllü EÖ, Tamer A. Presentation of three cases followed up with a diagnosis of Felty síndrome. </w:t>
      </w:r>
      <w:r w:rsidRPr="002C26FE">
        <w:rPr>
          <w:rFonts w:ascii="Times New Roman" w:hAnsi="Times New Roman" w:cs="Times New Roman"/>
          <w:sz w:val="24"/>
          <w:szCs w:val="24"/>
        </w:rPr>
        <w:t xml:space="preserve">Eur J Rheumatol. 2014 [acceso: 02/11/2021]; 1: 120 – 122. Disponible en: </w:t>
      </w:r>
      <w:hyperlink r:id="rId18">
        <w:r w:rsidRPr="002C26FE">
          <w:rPr>
            <w:rStyle w:val="EnlacedeInternet"/>
            <w:rFonts w:ascii="Times New Roman" w:hAnsi="Times New Roman" w:cs="Times New Roman"/>
            <w:sz w:val="24"/>
            <w:szCs w:val="24"/>
          </w:rPr>
          <w:t>https://www.ncbi.nlm.nih.gov/pmc/articles/PMC5042221/pdf/ejr-1-3-120.pdf</w:t>
        </w:r>
      </w:hyperlink>
    </w:p>
    <w:p w14:paraId="647C5887" w14:textId="77777777" w:rsidR="007E4EBD" w:rsidRPr="002C26FE" w:rsidRDefault="007E4EBD" w:rsidP="007E4EBD">
      <w:pPr>
        <w:spacing w:after="0" w:line="360" w:lineRule="auto"/>
        <w:rPr>
          <w:rFonts w:ascii="Times New Roman" w:hAnsi="Times New Roman" w:cs="Times New Roman"/>
          <w:sz w:val="24"/>
          <w:szCs w:val="24"/>
        </w:rPr>
      </w:pPr>
      <w:r w:rsidRPr="002C26FE">
        <w:rPr>
          <w:rFonts w:ascii="Times New Roman" w:hAnsi="Times New Roman" w:cs="Times New Roman"/>
          <w:sz w:val="24"/>
          <w:szCs w:val="24"/>
        </w:rPr>
        <w:t xml:space="preserve">7. Abdelkader HA, Abdel Galeil Y, Elbendary A, El Mofty M, Abdel Halim MRE. </w:t>
      </w:r>
      <w:r w:rsidRPr="002C26FE">
        <w:rPr>
          <w:rFonts w:ascii="Times New Roman" w:hAnsi="Times New Roman" w:cs="Times New Roman"/>
          <w:sz w:val="24"/>
          <w:szCs w:val="24"/>
          <w:lang w:val="en-US"/>
        </w:rPr>
        <w:t xml:space="preserve">Multiple Skin Ulcers in a Rheumatoid Arthritis Patient: Answer. Am J Dermatopathol. </w:t>
      </w:r>
      <w:r w:rsidRPr="002C26FE">
        <w:rPr>
          <w:rFonts w:ascii="Times New Roman" w:hAnsi="Times New Roman" w:cs="Times New Roman"/>
          <w:sz w:val="24"/>
          <w:szCs w:val="24"/>
        </w:rPr>
        <w:t xml:space="preserve">2020 [acceso: 02/11/2021]; 42(2): 146 – 147. Disponible en: </w:t>
      </w:r>
      <w:hyperlink r:id="rId19">
        <w:r w:rsidRPr="002C26FE">
          <w:rPr>
            <w:rStyle w:val="EnlacedeInternet"/>
            <w:rFonts w:ascii="Times New Roman" w:hAnsi="Times New Roman" w:cs="Times New Roman"/>
            <w:sz w:val="24"/>
            <w:szCs w:val="24"/>
          </w:rPr>
          <w:t>https://dx.doi.org/10.1097/DAD.0000000000001326</w:t>
        </w:r>
      </w:hyperlink>
    </w:p>
    <w:p w14:paraId="115D1C2C" w14:textId="77777777" w:rsidR="007E4EBD" w:rsidRPr="002C26FE" w:rsidRDefault="007E4EBD" w:rsidP="007E4EBD">
      <w:pPr>
        <w:spacing w:after="0" w:line="360" w:lineRule="auto"/>
        <w:rPr>
          <w:rStyle w:val="EnlacedeInternet"/>
          <w:rFonts w:ascii="Times New Roman" w:hAnsi="Times New Roman" w:cs="Times New Roman"/>
          <w:sz w:val="24"/>
          <w:szCs w:val="24"/>
        </w:rPr>
      </w:pPr>
      <w:r w:rsidRPr="002C26FE">
        <w:rPr>
          <w:rFonts w:ascii="Times New Roman" w:hAnsi="Times New Roman" w:cs="Times New Roman"/>
          <w:sz w:val="24"/>
          <w:szCs w:val="24"/>
        </w:rPr>
        <w:t xml:space="preserve">8. Dubon P, Lim F, Bhandari S, Chauhan S, Solanki P, et al. </w:t>
      </w:r>
      <w:r w:rsidRPr="002C26FE">
        <w:rPr>
          <w:rFonts w:ascii="Times New Roman" w:hAnsi="Times New Roman" w:cs="Times New Roman"/>
          <w:sz w:val="24"/>
          <w:szCs w:val="24"/>
          <w:lang w:val="en-US"/>
        </w:rPr>
        <w:t xml:space="preserve">Felty’s Syndrome: Triad Not Always Evident. </w:t>
      </w:r>
      <w:r>
        <w:rPr>
          <w:rFonts w:ascii="Times New Roman" w:hAnsi="Times New Roman" w:cs="Times New Roman"/>
          <w:sz w:val="24"/>
          <w:szCs w:val="24"/>
          <w:lang w:val="en-US"/>
        </w:rPr>
        <w:t xml:space="preserve">Florida: </w:t>
      </w:r>
      <w:r w:rsidRPr="002C26FE">
        <w:rPr>
          <w:rFonts w:ascii="Times New Roman" w:hAnsi="Times New Roman" w:cs="Times New Roman"/>
          <w:sz w:val="24"/>
          <w:szCs w:val="24"/>
          <w:lang w:val="en-US"/>
        </w:rPr>
        <w:t>Florida Chapter of American College of Physicians Annual Meeting</w:t>
      </w:r>
      <w:r>
        <w:rPr>
          <w:rFonts w:ascii="Times New Roman" w:hAnsi="Times New Roman" w:cs="Times New Roman"/>
          <w:sz w:val="24"/>
          <w:szCs w:val="24"/>
          <w:lang w:val="en-US"/>
        </w:rPr>
        <w:t>;</w:t>
      </w:r>
      <w:r w:rsidRPr="002C26FE">
        <w:rPr>
          <w:rFonts w:ascii="Times New Roman" w:hAnsi="Times New Roman" w:cs="Times New Roman"/>
          <w:sz w:val="24"/>
          <w:szCs w:val="24"/>
          <w:lang w:val="en-US"/>
        </w:rPr>
        <w:t xml:space="preserve"> 2019</w:t>
      </w:r>
      <w:r>
        <w:rPr>
          <w:rFonts w:ascii="Times New Roman" w:hAnsi="Times New Roman" w:cs="Times New Roman"/>
          <w:sz w:val="24"/>
          <w:szCs w:val="24"/>
          <w:lang w:val="en-US"/>
        </w:rPr>
        <w:t>.</w:t>
      </w:r>
      <w:r w:rsidRPr="002C26FE">
        <w:rPr>
          <w:rFonts w:ascii="Times New Roman" w:hAnsi="Times New Roman" w:cs="Times New Roman"/>
          <w:sz w:val="24"/>
          <w:szCs w:val="24"/>
          <w:lang w:val="en-US"/>
        </w:rPr>
        <w:t xml:space="preserve"> </w:t>
      </w:r>
      <w:r w:rsidRPr="00CE5B08">
        <w:rPr>
          <w:rFonts w:ascii="Times New Roman" w:hAnsi="Times New Roman" w:cs="Times New Roman"/>
          <w:sz w:val="24"/>
          <w:szCs w:val="24"/>
        </w:rPr>
        <w:t xml:space="preserve">[acceso: 02/11/2021]. </w:t>
      </w:r>
      <w:r w:rsidRPr="002C26FE">
        <w:rPr>
          <w:rFonts w:ascii="Times New Roman" w:hAnsi="Times New Roman" w:cs="Times New Roman"/>
          <w:sz w:val="24"/>
          <w:szCs w:val="24"/>
        </w:rPr>
        <w:t xml:space="preserve">Disponible en: </w:t>
      </w:r>
      <w:hyperlink r:id="rId20">
        <w:r w:rsidRPr="002C26FE">
          <w:rPr>
            <w:rStyle w:val="EnlacedeInternet"/>
            <w:rFonts w:ascii="Times New Roman" w:hAnsi="Times New Roman" w:cs="Times New Roman"/>
            <w:sz w:val="24"/>
            <w:szCs w:val="24"/>
          </w:rPr>
          <w:t>https://scholarlycommons.hcahealthcare.com/cgi/viewcontent.cgi?article=1023&amp;context=internal-medicine</w:t>
        </w:r>
      </w:hyperlink>
      <w:r w:rsidRPr="002C26FE">
        <w:rPr>
          <w:rStyle w:val="EnlacedeInternet"/>
          <w:rFonts w:ascii="Times New Roman" w:hAnsi="Times New Roman" w:cs="Times New Roman"/>
          <w:sz w:val="24"/>
          <w:szCs w:val="24"/>
        </w:rPr>
        <w:t xml:space="preserve"> </w:t>
      </w:r>
    </w:p>
    <w:p w14:paraId="3C0E7164" w14:textId="77777777" w:rsidR="007E4EBD" w:rsidRPr="002C26FE" w:rsidRDefault="007E4EBD" w:rsidP="007E4EBD">
      <w:pPr>
        <w:spacing w:after="0" w:line="360" w:lineRule="auto"/>
        <w:rPr>
          <w:rFonts w:ascii="Times New Roman" w:hAnsi="Times New Roman" w:cs="Times New Roman"/>
          <w:sz w:val="24"/>
          <w:szCs w:val="24"/>
        </w:rPr>
      </w:pPr>
      <w:r w:rsidRPr="002C26FE">
        <w:rPr>
          <w:rFonts w:ascii="Times New Roman" w:hAnsi="Times New Roman" w:cs="Times New Roman"/>
          <w:sz w:val="24"/>
          <w:szCs w:val="24"/>
          <w:lang w:val="en-US"/>
        </w:rPr>
        <w:t xml:space="preserve">9. Burks EJ, Loughran TP. Pathogenesis of neutropenia in large granular lymphocyte leukemia and Felty síndrome. </w:t>
      </w:r>
      <w:r w:rsidRPr="002C26FE">
        <w:rPr>
          <w:rFonts w:ascii="Times New Roman" w:hAnsi="Times New Roman" w:cs="Times New Roman"/>
          <w:sz w:val="24"/>
          <w:szCs w:val="24"/>
        </w:rPr>
        <w:t xml:space="preserve">Blood Reviews. 2006 [acceso: 02/11/2021]; 20: 245 – 266. Disponible en: </w:t>
      </w:r>
      <w:hyperlink r:id="rId21">
        <w:r w:rsidRPr="002C26FE">
          <w:rPr>
            <w:rStyle w:val="EnlacedeInternet"/>
            <w:rFonts w:ascii="Times New Roman" w:hAnsi="Times New Roman" w:cs="Times New Roman"/>
            <w:color w:val="1F497D" w:themeColor="text2"/>
            <w:sz w:val="24"/>
            <w:szCs w:val="24"/>
          </w:rPr>
          <w:t>https://doi.org/10.1016/j.blre.2006.01.003</w:t>
        </w:r>
      </w:hyperlink>
    </w:p>
    <w:p w14:paraId="1120E605" w14:textId="77777777" w:rsidR="007E4EBD" w:rsidRPr="002C26FE" w:rsidRDefault="0044731E" w:rsidP="007E4EBD">
      <w:pPr>
        <w:spacing w:after="0" w:line="360" w:lineRule="auto"/>
        <w:rPr>
          <w:rFonts w:ascii="Times New Roman" w:hAnsi="Times New Roman" w:cs="Times New Roman"/>
          <w:sz w:val="24"/>
          <w:szCs w:val="24"/>
        </w:rPr>
      </w:pPr>
      <w:hyperlink r:id="rId22">
        <w:r w:rsidR="007E4EBD" w:rsidRPr="002C26FE">
          <w:rPr>
            <w:rFonts w:ascii="Times New Roman" w:hAnsi="Times New Roman" w:cs="Times New Roman"/>
            <w:sz w:val="24"/>
            <w:szCs w:val="24"/>
          </w:rPr>
          <w:t xml:space="preserve">10. Revenga Martínez M, Morán-Álvarez P, Arroyo Palomo J, Valero Expósito M, Vázquez Díaz M. Artritis reumatoide. Medicine. 2021 [acceso: 02/11/2021];  13(30): 1669 – 1680. Disponible en: </w:t>
        </w:r>
      </w:hyperlink>
      <w:hyperlink r:id="rId23">
        <w:r w:rsidR="007E4EBD" w:rsidRPr="002C26FE">
          <w:rPr>
            <w:rStyle w:val="EnlacedeInternet"/>
            <w:rFonts w:ascii="Times New Roman" w:hAnsi="Times New Roman" w:cs="Times New Roman"/>
            <w:sz w:val="24"/>
            <w:szCs w:val="24"/>
          </w:rPr>
          <w:t>https://doi.org/10.1016/j.med.2021.03.027</w:t>
        </w:r>
      </w:hyperlink>
    </w:p>
    <w:p w14:paraId="3624F561" w14:textId="77777777" w:rsidR="007E4EBD" w:rsidRPr="002C26FE" w:rsidRDefault="007E4EBD" w:rsidP="007E4EBD">
      <w:pPr>
        <w:spacing w:after="0" w:line="360" w:lineRule="auto"/>
        <w:rPr>
          <w:rFonts w:ascii="Times New Roman" w:hAnsi="Times New Roman" w:cs="Times New Roman"/>
          <w:sz w:val="24"/>
          <w:szCs w:val="24"/>
        </w:rPr>
      </w:pPr>
      <w:r w:rsidRPr="002C26FE">
        <w:rPr>
          <w:rFonts w:ascii="Times New Roman" w:hAnsi="Times New Roman" w:cs="Times New Roman"/>
          <w:sz w:val="24"/>
          <w:szCs w:val="24"/>
        </w:rPr>
        <w:t>11. Gallardo Perez DE. Manifestaciones extraarticulares de Artritis Reumatoide. [Tesis de culminación de estudios médico]. Cuenca, Ecuador: Universidad Católica de Cuenca</w:t>
      </w:r>
      <w:r>
        <w:rPr>
          <w:rFonts w:ascii="Times New Roman" w:hAnsi="Times New Roman" w:cs="Times New Roman"/>
          <w:sz w:val="24"/>
          <w:szCs w:val="24"/>
        </w:rPr>
        <w:t>,</w:t>
      </w:r>
      <w:r w:rsidRPr="002C26FE">
        <w:rPr>
          <w:rFonts w:ascii="Times New Roman" w:hAnsi="Times New Roman" w:cs="Times New Roman"/>
          <w:sz w:val="24"/>
          <w:szCs w:val="24"/>
        </w:rPr>
        <w:t xml:space="preserve"> Unidad Académica Salud y Bienestar</w:t>
      </w:r>
      <w:r>
        <w:rPr>
          <w:rFonts w:ascii="Times New Roman" w:hAnsi="Times New Roman" w:cs="Times New Roman"/>
          <w:sz w:val="24"/>
          <w:szCs w:val="24"/>
        </w:rPr>
        <w:t>,</w:t>
      </w:r>
      <w:r w:rsidRPr="002C26FE">
        <w:rPr>
          <w:rFonts w:ascii="Times New Roman" w:hAnsi="Times New Roman" w:cs="Times New Roman"/>
          <w:sz w:val="24"/>
          <w:szCs w:val="24"/>
        </w:rPr>
        <w:t xml:space="preserve"> Carrera de Medicina</w:t>
      </w:r>
      <w:r>
        <w:rPr>
          <w:rFonts w:ascii="Times New Roman" w:hAnsi="Times New Roman" w:cs="Times New Roman"/>
          <w:sz w:val="24"/>
          <w:szCs w:val="24"/>
        </w:rPr>
        <w:t>;</w:t>
      </w:r>
      <w:r w:rsidRPr="002C26FE">
        <w:rPr>
          <w:rFonts w:ascii="Times New Roman" w:hAnsi="Times New Roman" w:cs="Times New Roman"/>
          <w:sz w:val="24"/>
          <w:szCs w:val="24"/>
        </w:rPr>
        <w:t xml:space="preserve"> 2020</w:t>
      </w:r>
      <w:r>
        <w:rPr>
          <w:rFonts w:ascii="Times New Roman" w:hAnsi="Times New Roman" w:cs="Times New Roman"/>
          <w:sz w:val="24"/>
          <w:szCs w:val="24"/>
        </w:rPr>
        <w:t>.</w:t>
      </w:r>
      <w:r w:rsidRPr="002C26FE">
        <w:rPr>
          <w:rFonts w:ascii="Times New Roman" w:hAnsi="Times New Roman" w:cs="Times New Roman"/>
          <w:sz w:val="24"/>
          <w:szCs w:val="24"/>
        </w:rPr>
        <w:t xml:space="preserve"> [acceso: 02/11/2021]. Disponible en: </w:t>
      </w:r>
      <w:hyperlink r:id="rId24">
        <w:r w:rsidRPr="002C26FE">
          <w:rPr>
            <w:rStyle w:val="EnlacedeInternet"/>
            <w:rFonts w:ascii="Times New Roman" w:hAnsi="Times New Roman" w:cs="Times New Roman"/>
            <w:sz w:val="24"/>
            <w:szCs w:val="24"/>
          </w:rPr>
          <w:t>https://dspace.ucacue.edu.ec/bitstream/ucacue/8500/1/9BT2020-MTI081-DENISSE%20ESTEFANIA%20GALLARDO%20P%c3%89REZ.pdf</w:t>
        </w:r>
      </w:hyperlink>
    </w:p>
    <w:p w14:paraId="42E6607B" w14:textId="77777777" w:rsidR="007E4EBD" w:rsidRPr="002C26FE" w:rsidRDefault="007E4EBD" w:rsidP="007E4EBD">
      <w:pPr>
        <w:spacing w:after="0" w:line="360" w:lineRule="auto"/>
        <w:rPr>
          <w:rFonts w:ascii="Times New Roman" w:hAnsi="Times New Roman" w:cs="Times New Roman"/>
          <w:sz w:val="24"/>
          <w:szCs w:val="24"/>
        </w:rPr>
      </w:pPr>
      <w:r w:rsidRPr="002C26FE">
        <w:rPr>
          <w:rFonts w:ascii="Times New Roman" w:hAnsi="Times New Roman" w:cs="Times New Roman"/>
          <w:sz w:val="24"/>
          <w:szCs w:val="24"/>
        </w:rPr>
        <w:t>12. Fuertes Fuertes R. Impacto del estado nutricional en el pronóstico del paciente séptico. [Trabajo de Fin De Grado]. Valladolid, España: Universidad de Valladolid</w:t>
      </w:r>
      <w:r>
        <w:rPr>
          <w:rFonts w:ascii="Times New Roman" w:hAnsi="Times New Roman" w:cs="Times New Roman"/>
          <w:sz w:val="24"/>
          <w:szCs w:val="24"/>
        </w:rPr>
        <w:t>,</w:t>
      </w:r>
      <w:r w:rsidRPr="002C26FE">
        <w:rPr>
          <w:rFonts w:ascii="Times New Roman" w:hAnsi="Times New Roman" w:cs="Times New Roman"/>
          <w:sz w:val="24"/>
          <w:szCs w:val="24"/>
        </w:rPr>
        <w:t xml:space="preserve"> Facultad de Medicina</w:t>
      </w:r>
      <w:r>
        <w:rPr>
          <w:rFonts w:ascii="Times New Roman" w:hAnsi="Times New Roman" w:cs="Times New Roman"/>
          <w:sz w:val="24"/>
          <w:szCs w:val="24"/>
        </w:rPr>
        <w:t>;</w:t>
      </w:r>
      <w:r w:rsidRPr="002C26FE">
        <w:rPr>
          <w:rFonts w:ascii="Times New Roman" w:hAnsi="Times New Roman" w:cs="Times New Roman"/>
          <w:sz w:val="24"/>
          <w:szCs w:val="24"/>
        </w:rPr>
        <w:t xml:space="preserve"> 2020</w:t>
      </w:r>
      <w:r>
        <w:rPr>
          <w:rFonts w:ascii="Times New Roman" w:hAnsi="Times New Roman" w:cs="Times New Roman"/>
          <w:sz w:val="24"/>
          <w:szCs w:val="24"/>
        </w:rPr>
        <w:t>.</w:t>
      </w:r>
      <w:r w:rsidRPr="002C26FE">
        <w:rPr>
          <w:rFonts w:ascii="Times New Roman" w:hAnsi="Times New Roman" w:cs="Times New Roman"/>
          <w:sz w:val="24"/>
          <w:szCs w:val="24"/>
        </w:rPr>
        <w:t xml:space="preserve"> [acceso: 06/11/2021]. Disponible en: </w:t>
      </w:r>
      <w:hyperlink r:id="rId25">
        <w:r w:rsidRPr="002C26FE">
          <w:rPr>
            <w:rStyle w:val="EnlacedeInternet"/>
            <w:rFonts w:ascii="Times New Roman" w:hAnsi="Times New Roman" w:cs="Times New Roman"/>
            <w:sz w:val="24"/>
            <w:szCs w:val="24"/>
          </w:rPr>
          <w:t>https://uvadoc.uva.es/bitstream/handle/10324/41593/TFG-M-M1759%20%282%29.pdf?sequence=1&amp;isAllowed=y</w:t>
        </w:r>
      </w:hyperlink>
    </w:p>
    <w:p w14:paraId="1B102B26" w14:textId="77777777" w:rsidR="007E4EBD" w:rsidRPr="002C26FE" w:rsidRDefault="007E4EBD" w:rsidP="007E4EBD">
      <w:pPr>
        <w:spacing w:after="0" w:line="360" w:lineRule="auto"/>
        <w:rPr>
          <w:rFonts w:ascii="Times New Roman" w:hAnsi="Times New Roman" w:cs="Times New Roman"/>
          <w:sz w:val="24"/>
          <w:szCs w:val="24"/>
        </w:rPr>
      </w:pPr>
      <w:r w:rsidRPr="002C26FE">
        <w:rPr>
          <w:rFonts w:ascii="Times New Roman" w:hAnsi="Times New Roman" w:cs="Times New Roman"/>
          <w:sz w:val="24"/>
          <w:szCs w:val="24"/>
        </w:rPr>
        <w:t xml:space="preserve">13. Carrillo Esper R, Rivera Buendía S, Carrillo Córdova JR, Carrillo Córdova LD. Estatinas, ¿alternativa terapéutica en sepsis? Gac Méd Méx. 2007 [acceso: 06/11/2021]; 143 (6): 499 – 503. Disponible en: </w:t>
      </w:r>
      <w:hyperlink r:id="rId26">
        <w:r w:rsidRPr="002C26FE">
          <w:rPr>
            <w:rStyle w:val="EnlacedeInternet"/>
            <w:rFonts w:ascii="Times New Roman" w:hAnsi="Times New Roman" w:cs="Times New Roman"/>
            <w:sz w:val="24"/>
            <w:szCs w:val="24"/>
          </w:rPr>
          <w:t>https://www.medigraphic.com/pdfs/gaceta/gm-2007/gm076g.pdf</w:t>
        </w:r>
      </w:hyperlink>
    </w:p>
    <w:p w14:paraId="565409D3" w14:textId="77777777" w:rsidR="007E4EBD" w:rsidRPr="002C26FE" w:rsidRDefault="007E4EBD" w:rsidP="007E4EBD">
      <w:pPr>
        <w:spacing w:after="0" w:line="360" w:lineRule="auto"/>
        <w:rPr>
          <w:rFonts w:ascii="Times New Roman" w:hAnsi="Times New Roman" w:cs="Times New Roman"/>
          <w:sz w:val="24"/>
          <w:szCs w:val="24"/>
        </w:rPr>
      </w:pPr>
      <w:r w:rsidRPr="002C26FE">
        <w:rPr>
          <w:rFonts w:ascii="Times New Roman" w:hAnsi="Times New Roman" w:cs="Times New Roman"/>
          <w:sz w:val="24"/>
          <w:szCs w:val="24"/>
        </w:rPr>
        <w:t xml:space="preserve">14. Porta Díaz M, Salvato Dueñas A, Alvaré Alvaré L, Melo Victores M, Lobato Pastrana D, González Concepción I. Estrategias de tromboprofilaxis y anticoagulación en pacientes pediátricos con COVID-19. Invest. Medicoquir. 2021 [acceso: 06/11/2021]; 13 (2): [aprox. 14 pant.]. Disponible en: </w:t>
      </w:r>
      <w:hyperlink r:id="rId27">
        <w:r w:rsidRPr="002C26FE">
          <w:rPr>
            <w:rStyle w:val="EnlacedeInternet"/>
            <w:rFonts w:ascii="Times New Roman" w:hAnsi="Times New Roman" w:cs="Times New Roman"/>
            <w:sz w:val="24"/>
            <w:szCs w:val="24"/>
          </w:rPr>
          <w:t>http://revcimeq.sld.cu/index.php/imq/article/view/714/746</w:t>
        </w:r>
      </w:hyperlink>
    </w:p>
    <w:p w14:paraId="7109C641" w14:textId="77777777" w:rsidR="007E4EBD" w:rsidRPr="002C26FE" w:rsidRDefault="007E4EBD" w:rsidP="007E4EBD">
      <w:pPr>
        <w:spacing w:after="0" w:line="360" w:lineRule="auto"/>
        <w:jc w:val="both"/>
        <w:rPr>
          <w:rFonts w:ascii="Times New Roman" w:hAnsi="Times New Roman" w:cs="Times New Roman"/>
          <w:sz w:val="24"/>
          <w:szCs w:val="24"/>
        </w:rPr>
      </w:pPr>
    </w:p>
    <w:p w14:paraId="1F07AD51" w14:textId="77777777" w:rsidR="007E4EBD" w:rsidRDefault="007E4EBD" w:rsidP="007E4EBD">
      <w:pPr>
        <w:spacing w:after="0" w:line="360" w:lineRule="auto"/>
        <w:jc w:val="both"/>
        <w:rPr>
          <w:rFonts w:ascii="Times New Roman" w:hAnsi="Times New Roman" w:cs="Times New Roman"/>
          <w:sz w:val="24"/>
          <w:szCs w:val="24"/>
        </w:rPr>
      </w:pPr>
    </w:p>
    <w:p w14:paraId="0490C017" w14:textId="77777777" w:rsidR="007E4EBD" w:rsidRPr="00AC70C9" w:rsidRDefault="007E4EBD" w:rsidP="007E4EBD">
      <w:pPr>
        <w:spacing w:after="0" w:line="360" w:lineRule="auto"/>
        <w:jc w:val="center"/>
        <w:rPr>
          <w:rFonts w:ascii="Times New Roman" w:hAnsi="Times New Roman" w:cs="Times New Roman"/>
          <w:b/>
          <w:sz w:val="24"/>
          <w:szCs w:val="24"/>
        </w:rPr>
      </w:pPr>
      <w:r w:rsidRPr="00AC70C9">
        <w:rPr>
          <w:rFonts w:ascii="Times New Roman" w:hAnsi="Times New Roman" w:cs="Times New Roman"/>
          <w:b/>
          <w:sz w:val="24"/>
          <w:szCs w:val="24"/>
        </w:rPr>
        <w:t>Conflictos de interés</w:t>
      </w:r>
    </w:p>
    <w:p w14:paraId="090E8CA2" w14:textId="48157E27" w:rsidR="00675476" w:rsidRPr="003C63EA" w:rsidRDefault="007E4EBD" w:rsidP="003C63E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Los autores plantean que no </w:t>
      </w:r>
      <w:r w:rsidRPr="002C26FE">
        <w:rPr>
          <w:rFonts w:ascii="Times New Roman" w:hAnsi="Times New Roman" w:cs="Times New Roman"/>
          <w:sz w:val="24"/>
          <w:szCs w:val="24"/>
        </w:rPr>
        <w:t xml:space="preserve">existen </w:t>
      </w:r>
      <w:r>
        <w:rPr>
          <w:rFonts w:ascii="Times New Roman" w:hAnsi="Times New Roman" w:cs="Times New Roman"/>
          <w:sz w:val="24"/>
          <w:szCs w:val="24"/>
        </w:rPr>
        <w:t>conflictos de interés.</w:t>
      </w:r>
    </w:p>
    <w:sectPr w:rsidR="00675476" w:rsidRPr="003C63EA" w:rsidSect="00FD3DF8">
      <w:headerReference w:type="default" r:id="rId28"/>
      <w:footerReference w:type="even" r:id="rId29"/>
      <w:footerReference w:type="default" r:id="rId30"/>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1B79E" w14:textId="77777777" w:rsidR="0044731E" w:rsidRDefault="0044731E">
      <w:r>
        <w:separator/>
      </w:r>
    </w:p>
  </w:endnote>
  <w:endnote w:type="continuationSeparator" w:id="0">
    <w:p w14:paraId="3A60ADB5" w14:textId="77777777" w:rsidR="0044731E" w:rsidRDefault="00447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BF139"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A51F0F3"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040AC" w14:textId="77777777" w:rsidR="000F3690" w:rsidRPr="00AE044C" w:rsidRDefault="000F3690" w:rsidP="00391509">
    <w:pPr>
      <w:pStyle w:val="Piedepgina"/>
      <w:ind w:right="360"/>
      <w:rPr>
        <w:sz w:val="22"/>
        <w:szCs w:val="22"/>
      </w:rPr>
    </w:pPr>
    <w:r>
      <w:rPr>
        <w:noProof/>
        <w:lang w:val="es-ES" w:eastAsia="es-ES"/>
      </w:rPr>
      <mc:AlternateContent>
        <mc:Choice Requires="wps">
          <w:drawing>
            <wp:anchor distT="0" distB="0" distL="114300" distR="114300" simplePos="0" relativeHeight="251657728" behindDoc="0" locked="0" layoutInCell="1" allowOverlap="1" wp14:anchorId="55B3ABBC" wp14:editId="1C349CBB">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6BAF61" id="Line 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3A7DD1B7" w14:textId="77777777" w:rsidR="00675476" w:rsidRPr="00AE044C" w:rsidRDefault="0044731E" w:rsidP="00391509">
    <w:pPr>
      <w:pStyle w:val="Piedepgina"/>
      <w:ind w:right="360"/>
      <w:rPr>
        <w:sz w:val="22"/>
        <w:szCs w:val="22"/>
      </w:rPr>
    </w:pPr>
    <w:hyperlink r:id="rId1" w:history="1">
      <w:r w:rsidR="00391509" w:rsidRPr="00AE044C">
        <w:rPr>
          <w:rStyle w:val="Hipervnculo"/>
          <w:sz w:val="22"/>
          <w:szCs w:val="22"/>
        </w:rPr>
        <w:t>http://scielo.sld.cu</w:t>
      </w:r>
    </w:hyperlink>
  </w:p>
  <w:p w14:paraId="07E31B0C" w14:textId="77777777" w:rsidR="00391509" w:rsidRPr="00AE044C" w:rsidRDefault="0044731E"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2E914C5D" w14:textId="777777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Pr>
        <w:rFonts w:ascii="Verdana" w:hAnsi="Verdana"/>
        <w:noProof/>
        <w:sz w:val="18"/>
        <w:szCs w:val="18"/>
        <w:lang w:val="es-ES" w:eastAsia="es-ES"/>
      </w:rPr>
      <w:drawing>
        <wp:inline distT="0" distB="0" distL="0" distR="0" wp14:anchorId="130E0E53" wp14:editId="1D482F4A">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F02CE" w14:textId="77777777" w:rsidR="0044731E" w:rsidRDefault="0044731E">
      <w:r>
        <w:separator/>
      </w:r>
    </w:p>
  </w:footnote>
  <w:footnote w:type="continuationSeparator" w:id="0">
    <w:p w14:paraId="7C746BC4" w14:textId="77777777" w:rsidR="0044731E" w:rsidRDefault="00447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34B83" w14:textId="4FFAFF99" w:rsidR="00CC376A" w:rsidRPr="00AE044C" w:rsidRDefault="00916E4C" w:rsidP="00180CE9">
    <w:pPr>
      <w:pStyle w:val="Encabezado"/>
      <w:tabs>
        <w:tab w:val="left" w:pos="420"/>
      </w:tabs>
      <w:jc w:val="center"/>
      <w:rPr>
        <w:sz w:val="22"/>
        <w:szCs w:val="22"/>
      </w:rPr>
    </w:pPr>
    <w:r>
      <w:rPr>
        <w:sz w:val="22"/>
        <w:szCs w:val="22"/>
      </w:rPr>
      <w:t>2022</w:t>
    </w:r>
    <w:r w:rsidR="007D2D0C">
      <w:rPr>
        <w:sz w:val="22"/>
        <w:szCs w:val="22"/>
      </w:rPr>
      <w:t>;</w:t>
    </w:r>
    <w:r>
      <w:rPr>
        <w:sz w:val="22"/>
        <w:szCs w:val="22"/>
      </w:rPr>
      <w:t xml:space="preserve"> 51</w:t>
    </w:r>
    <w:r w:rsidR="007D2D0C" w:rsidRPr="00AE044C">
      <w:rPr>
        <w:sz w:val="22"/>
        <w:szCs w:val="22"/>
      </w:rPr>
      <w:t>(</w:t>
    </w:r>
    <w:r>
      <w:rPr>
        <w:sz w:val="22"/>
        <w:szCs w:val="22"/>
      </w:rPr>
      <w:t>2</w:t>
    </w:r>
    <w:r w:rsidR="007D2D0C" w:rsidRPr="00AE044C">
      <w:rPr>
        <w:sz w:val="22"/>
        <w:szCs w:val="22"/>
      </w:rPr>
      <w:t>):</w:t>
    </w:r>
    <w:r>
      <w:rPr>
        <w:sz w:val="22"/>
        <w:szCs w:val="22"/>
      </w:rPr>
      <w:t xml:space="preserve"> e02201728</w:t>
    </w:r>
    <w:r w:rsidR="007D2D0C" w:rsidRPr="007D2D0C">
      <w:rPr>
        <w:b/>
        <w:noProof/>
        <w:color w:val="00FFFF"/>
        <w:sz w:val="22"/>
        <w:szCs w:val="22"/>
        <w:lang w:eastAsia="en-US"/>
      </w:rPr>
      <w:t xml:space="preserve"> </w:t>
    </w:r>
    <w:r w:rsidR="007D2D0C">
      <w:rPr>
        <w:b/>
        <w:noProof/>
        <w:color w:val="00FFFF"/>
        <w:sz w:val="22"/>
        <w:szCs w:val="22"/>
        <w:lang w:val="es-ES" w:eastAsia="es-ES"/>
      </w:rPr>
      <w:drawing>
        <wp:anchor distT="0" distB="0" distL="114300" distR="114300" simplePos="0" relativeHeight="251685888" behindDoc="1" locked="0" layoutInCell="1" allowOverlap="1" wp14:anchorId="0A76B4B4" wp14:editId="61C384BA">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p>
  <w:p w14:paraId="4084B4F6" w14:textId="77777777" w:rsidR="00A477DE" w:rsidRDefault="000F3690">
    <w:r w:rsidRPr="00CC376A">
      <w:rPr>
        <w:rFonts w:ascii="Verdana" w:hAnsi="Verdana"/>
        <w:noProof/>
        <w:color w:val="00FFFF"/>
        <w:sz w:val="18"/>
        <w:szCs w:val="18"/>
        <w:lang w:eastAsia="es-ES"/>
      </w:rPr>
      <mc:AlternateContent>
        <mc:Choice Requires="wps">
          <w:drawing>
            <wp:anchor distT="0" distB="0" distL="114300" distR="114300" simplePos="0" relativeHeight="251656192" behindDoc="0" locked="0" layoutInCell="1" allowOverlap="1" wp14:anchorId="04A3CA64" wp14:editId="24C7B341">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BA108E"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E4EBD"/>
    <w:rsid w:val="00057F45"/>
    <w:rsid w:val="00075013"/>
    <w:rsid w:val="000D3958"/>
    <w:rsid w:val="000F3690"/>
    <w:rsid w:val="001221D1"/>
    <w:rsid w:val="00165CB5"/>
    <w:rsid w:val="00180CE9"/>
    <w:rsid w:val="001825DF"/>
    <w:rsid w:val="00230DD5"/>
    <w:rsid w:val="00250AE9"/>
    <w:rsid w:val="00380D64"/>
    <w:rsid w:val="00391509"/>
    <w:rsid w:val="003C63EA"/>
    <w:rsid w:val="003E03D5"/>
    <w:rsid w:val="0044731E"/>
    <w:rsid w:val="00486BFA"/>
    <w:rsid w:val="00493701"/>
    <w:rsid w:val="004E2065"/>
    <w:rsid w:val="005508A2"/>
    <w:rsid w:val="0055115D"/>
    <w:rsid w:val="005661BD"/>
    <w:rsid w:val="00566F71"/>
    <w:rsid w:val="005918BD"/>
    <w:rsid w:val="006173A6"/>
    <w:rsid w:val="00675476"/>
    <w:rsid w:val="007801CE"/>
    <w:rsid w:val="007C430F"/>
    <w:rsid w:val="007D2D0C"/>
    <w:rsid w:val="007D614D"/>
    <w:rsid w:val="007E4EBD"/>
    <w:rsid w:val="00916E4C"/>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A7CC1"/>
    <w:rsid w:val="00FD2D0D"/>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3F945F"/>
  <w15:docId w15:val="{EFFB78DA-501E-4DF6-85E3-6F8C031A6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4EBD"/>
    <w:pPr>
      <w:suppressAutoHyphens/>
      <w:spacing w:after="200" w:line="276"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suppressAutoHyphens w:val="0"/>
      <w:spacing w:after="0" w:line="240" w:lineRule="auto"/>
    </w:pPr>
    <w:rPr>
      <w:rFonts w:ascii="Times New Roman" w:eastAsia="Times New Roman" w:hAnsi="Times New Roman" w:cs="Times New Roman"/>
      <w:sz w:val="24"/>
      <w:szCs w:val="24"/>
      <w:lang w:val="es-ES_tradnl" w:eastAsia="es-ES_tradnl"/>
    </w:rPr>
  </w:style>
  <w:style w:type="paragraph" w:styleId="Piedepgina">
    <w:name w:val="footer"/>
    <w:basedOn w:val="Normal"/>
    <w:link w:val="PiedepginaCar"/>
    <w:uiPriority w:val="99"/>
    <w:rsid w:val="00675476"/>
    <w:pPr>
      <w:tabs>
        <w:tab w:val="center" w:pos="4252"/>
        <w:tab w:val="right" w:pos="8504"/>
      </w:tabs>
      <w:suppressAutoHyphens w:val="0"/>
      <w:spacing w:after="0" w:line="240" w:lineRule="auto"/>
    </w:pPr>
    <w:rPr>
      <w:rFonts w:ascii="Times New Roman" w:eastAsia="Times New Roman" w:hAnsi="Times New Roman" w:cs="Times New Roman"/>
      <w:sz w:val="24"/>
      <w:szCs w:val="24"/>
      <w:lang w:val="es-ES_tradnl" w:eastAsia="es-ES_tradnl"/>
    </w:rPr>
  </w:style>
  <w:style w:type="paragraph" w:styleId="NormalWeb">
    <w:name w:val="Normal (Web)"/>
    <w:basedOn w:val="Normal"/>
    <w:uiPriority w:val="99"/>
    <w:rsid w:val="00FE40CB"/>
    <w:pPr>
      <w:suppressAutoHyphens w:val="0"/>
      <w:spacing w:before="100" w:beforeAutospacing="1" w:after="100" w:afterAutospacing="1" w:line="240" w:lineRule="auto"/>
    </w:pPr>
    <w:rPr>
      <w:rFonts w:ascii="Times New Roman" w:eastAsia="Times New Roman" w:hAnsi="Times New Roman" w:cs="Times New Roman"/>
      <w:sz w:val="24"/>
      <w:szCs w:val="24"/>
      <w:lang w:val="es-ES_tradnl" w:eastAsia="es-ES_tradnl"/>
    </w:r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pPr>
      <w:suppressAutoHyphens w:val="0"/>
      <w:spacing w:after="0" w:line="240" w:lineRule="auto"/>
    </w:pPr>
    <w:rPr>
      <w:rFonts w:ascii="Tahoma" w:eastAsia="Times New Roman" w:hAnsi="Tahoma" w:cs="Tahoma"/>
      <w:sz w:val="16"/>
      <w:szCs w:val="16"/>
      <w:lang w:val="es-ES_tradnl" w:eastAsia="es-ES_tradnl"/>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uppressAutoHyphens w:val="0"/>
      <w:spacing w:after="0" w:line="360" w:lineRule="auto"/>
    </w:pPr>
    <w:rPr>
      <w:rFonts w:ascii="Times New Roman" w:eastAsia="Times New Roman" w:hAnsi="Times New Roman" w:cs="Times New Roman"/>
      <w:color w:val="000000" w:themeColor="text1"/>
      <w:sz w:val="24"/>
      <w:szCs w:val="24"/>
      <w:lang w:val="es-ES_tradnl" w:eastAsia="es-ES_tradnl"/>
    </w:rPr>
  </w:style>
  <w:style w:type="character" w:customStyle="1" w:styleId="PDFRevistaCar">
    <w:name w:val="PDF_Revista Car"/>
    <w:basedOn w:val="Fuentedeprrafopredeter"/>
    <w:link w:val="PDFRevista"/>
    <w:rsid w:val="00EA1FEF"/>
    <w:rPr>
      <w:color w:val="000000" w:themeColor="text1"/>
      <w:sz w:val="24"/>
      <w:szCs w:val="24"/>
      <w:lang w:eastAsia="es-ES_tradnl"/>
    </w:rPr>
  </w:style>
  <w:style w:type="character" w:customStyle="1" w:styleId="EnlacedeInternet">
    <w:name w:val="Enlace de Internet"/>
    <w:basedOn w:val="Fuentedeprrafopredeter"/>
    <w:uiPriority w:val="99"/>
    <w:unhideWhenUsed/>
    <w:rsid w:val="007E4EB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0317-7445" TargetMode="External"/><Relationship Id="rId13" Type="http://schemas.openxmlformats.org/officeDocument/2006/relationships/hyperlink" Target="https://dx.doi.org/10.7759/cureus.4079" TargetMode="External"/><Relationship Id="rId18" Type="http://schemas.openxmlformats.org/officeDocument/2006/relationships/hyperlink" Target="https://www.ncbi.nlm.nih.gov/pmc/articles/PMC5042221/pdf/ejr-1-3-120.pdf" TargetMode="External"/><Relationship Id="rId26" Type="http://schemas.openxmlformats.org/officeDocument/2006/relationships/hyperlink" Target="https://www.medigraphic.com/pdfs/gaceta/gm-2007/gm076g.pdf" TargetMode="External"/><Relationship Id="rId3" Type="http://schemas.openxmlformats.org/officeDocument/2006/relationships/settings" Target="settings.xml"/><Relationship Id="rId21" Type="http://schemas.openxmlformats.org/officeDocument/2006/relationships/hyperlink" Target="https://doi.org/10.1016/j.blre.2006.01.003%2010." TargetMode="External"/><Relationship Id="rId7" Type="http://schemas.openxmlformats.org/officeDocument/2006/relationships/hyperlink" Target="https://orcid.org/0000-0002-7184-621X" TargetMode="External"/><Relationship Id="rId12" Type="http://schemas.openxmlformats.org/officeDocument/2006/relationships/image" Target="media/image2.jpeg"/><Relationship Id="rId17" Type="http://schemas.openxmlformats.org/officeDocument/2006/relationships/hyperlink" Target="http://contenido.acronline.org/Publicaciones/RCR/RCR31-4/RCR-31-4-03_Manifestaciones.pdf" TargetMode="External"/><Relationship Id="rId25" Type="http://schemas.openxmlformats.org/officeDocument/2006/relationships/hyperlink" Target="https://uvadoc.uva.es/bitstream/handle/10324/41593/TFG-M-M1759%20(2).pdf?sequence=1&amp;isAllowed=y" TargetMode="External"/><Relationship Id="rId2" Type="http://schemas.openxmlformats.org/officeDocument/2006/relationships/styles" Target="styles.xml"/><Relationship Id="rId16" Type="http://schemas.openxmlformats.org/officeDocument/2006/relationships/hyperlink" Target="https://doi.org/10.1016/S0007-117X(79)80043-8" TargetMode="External"/><Relationship Id="rId20" Type="http://schemas.openxmlformats.org/officeDocument/2006/relationships/hyperlink" Target="https://scholarlycommons.hcahealthcare.com/cgi/viewcontent.cgi?article=1023&amp;context=internal-medicin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s://dspace.ucacue.edu.ec/bitstream/ucacue/8500/1/9BT2020-MTI081-DENISSE%20ESTEFANIA%20GALLARDO%20P&#201;REZ.pdf"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x.doi.org/10.1097/RHU.0000000000000906" TargetMode="External"/><Relationship Id="rId23" Type="http://schemas.openxmlformats.org/officeDocument/2006/relationships/hyperlink" Target="https://doi.org/10.1016/j.med.2021.03.027" TargetMode="External"/><Relationship Id="rId28" Type="http://schemas.openxmlformats.org/officeDocument/2006/relationships/header" Target="header1.xml"/><Relationship Id="rId10" Type="http://schemas.openxmlformats.org/officeDocument/2006/relationships/hyperlink" Target="mailto:luisfong87@nauta.cu" TargetMode="External"/><Relationship Id="rId19" Type="http://schemas.openxmlformats.org/officeDocument/2006/relationships/hyperlink" Target="https://dx.doi.org/10.1097/DAD.0000000000001326"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rcid.org/0000-0003-3289-9463" TargetMode="External"/><Relationship Id="rId14" Type="http://schemas.openxmlformats.org/officeDocument/2006/relationships/hyperlink" Target="http://dx.doi.org/10.1097/MD.0000000000023608" TargetMode="External"/><Relationship Id="rId22" Type="http://schemas.openxmlformats.org/officeDocument/2006/relationships/hyperlink" Target="https://doi.org/10.1016/j.blre.2006.01.003%2010." TargetMode="External"/><Relationship Id="rId27" Type="http://schemas.openxmlformats.org/officeDocument/2006/relationships/hyperlink" Target="http://revcimeq.sld.cu/index.php/imq/article/view/714/746"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E:\TRABAJO\EDICI&#211;N\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5</TotalTime>
  <Pages>8</Pages>
  <Words>2421</Words>
  <Characters>13319</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15709</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Plantilla para pdf</dc:subject>
  <dc:creator>amanda</dc:creator>
  <cp:lastModifiedBy>VP</cp:lastModifiedBy>
  <cp:revision>8</cp:revision>
  <cp:lastPrinted>2010-09-13T21:29:00Z</cp:lastPrinted>
  <dcterms:created xsi:type="dcterms:W3CDTF">2022-03-07T22:55:00Z</dcterms:created>
  <dcterms:modified xsi:type="dcterms:W3CDTF">2022-04-02T19:22:00Z</dcterms:modified>
</cp:coreProperties>
</file>