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F2" w:rsidRDefault="00B30D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Información complementaria de estado del arte de los comités independientes de monitoreo de datos. Gráficos.</w:t>
      </w:r>
    </w:p>
    <w:p w:rsidR="00DC35B6" w:rsidRDefault="00DC35B6">
      <w:r>
        <w:rPr>
          <w:rFonts w:ascii="Arial" w:hAnsi="Arial" w:cs="Arial"/>
          <w:sz w:val="24"/>
        </w:rPr>
        <w:t xml:space="preserve">Gráfico1: </w:t>
      </w:r>
      <w:r w:rsidR="00FC4BB6">
        <w:rPr>
          <w:rFonts w:ascii="Arial" w:hAnsi="Arial" w:cs="Arial"/>
          <w:sz w:val="24"/>
        </w:rPr>
        <w:t>Artículos</w:t>
      </w:r>
      <w:r w:rsidR="00916964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sobre comités independientes de monitoreo de datos por quinquenios entre 2000-2019</w:t>
      </w:r>
    </w:p>
    <w:p w:rsidR="004D60E9" w:rsidRDefault="00916964">
      <w:r>
        <w:rPr>
          <w:noProof/>
          <w:lang w:eastAsia="es-ES_tradnl"/>
        </w:rPr>
        <w:drawing>
          <wp:inline distT="0" distB="0" distL="0" distR="0" wp14:anchorId="02D53F5A" wp14:editId="7FBF7B21">
            <wp:extent cx="4572000" cy="352425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C35B6" w:rsidRDefault="00DC35B6"/>
    <w:p w:rsidR="006577F3" w:rsidRPr="00FC4BB6" w:rsidRDefault="00FC4BB6">
      <w:pPr>
        <w:rPr>
          <w:rFonts w:ascii="Arial" w:hAnsi="Arial" w:cs="Arial"/>
          <w:sz w:val="24"/>
          <w:szCs w:val="24"/>
        </w:rPr>
      </w:pPr>
      <w:r w:rsidRPr="00FC4BB6">
        <w:rPr>
          <w:rFonts w:ascii="Arial" w:hAnsi="Arial" w:cs="Arial"/>
          <w:sz w:val="24"/>
          <w:szCs w:val="24"/>
        </w:rPr>
        <w:t xml:space="preserve">Gráfico 2: </w:t>
      </w:r>
      <w:r w:rsidRPr="00FC4BB6">
        <w:rPr>
          <w:rFonts w:ascii="Arial" w:hAnsi="Arial" w:cs="Arial"/>
          <w:sz w:val="24"/>
          <w:szCs w:val="24"/>
        </w:rPr>
        <w:t>Artículos sobre comités independientes de monitoreo de datos por idiomas. 2000-2019</w:t>
      </w:r>
    </w:p>
    <w:p w:rsidR="00DC35B6" w:rsidRDefault="00FC4BB6">
      <w:r w:rsidRPr="00DC35B6">
        <w:drawing>
          <wp:inline distT="0" distB="0" distL="0" distR="0" wp14:anchorId="7AB831CC" wp14:editId="075B4A69">
            <wp:extent cx="4381500" cy="2790825"/>
            <wp:effectExtent l="38100" t="0" r="1905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B30DF2" w:rsidRDefault="00B30DF2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FC4BB6" w:rsidRDefault="00FC4BB6" w:rsidP="00FC4BB6">
      <w:pPr>
        <w:spacing w:before="240" w:line="360" w:lineRule="auto"/>
        <w:jc w:val="both"/>
        <w:rPr>
          <w:rFonts w:ascii="Arial" w:hAnsi="Arial" w:cs="Arial"/>
          <w:sz w:val="24"/>
        </w:rPr>
      </w:pPr>
      <w:r w:rsidRPr="00FC4BB6">
        <w:rPr>
          <w:rFonts w:ascii="Arial" w:hAnsi="Arial" w:cs="Arial"/>
          <w:sz w:val="24"/>
        </w:rPr>
        <w:lastRenderedPageBreak/>
        <w:t xml:space="preserve">Gráfico 3: </w:t>
      </w:r>
      <w:r>
        <w:rPr>
          <w:rFonts w:ascii="Arial" w:hAnsi="Arial" w:cs="Arial"/>
          <w:sz w:val="24"/>
        </w:rPr>
        <w:t>Artículos sobre comités independientes de monitoreo de datos por países o regiones. 2000-2019</w:t>
      </w:r>
    </w:p>
    <w:p w:rsidR="00DC35B6" w:rsidRPr="00FC4BB6" w:rsidRDefault="00DC35B6">
      <w:pPr>
        <w:rPr>
          <w:rFonts w:ascii="Arial" w:hAnsi="Arial" w:cs="Arial"/>
          <w:sz w:val="24"/>
        </w:rPr>
      </w:pPr>
    </w:p>
    <w:p w:rsidR="00B30DF2" w:rsidRDefault="00B30DF2">
      <w:r>
        <w:rPr>
          <w:noProof/>
          <w:lang w:eastAsia="es-ES_tradnl"/>
        </w:rPr>
        <w:drawing>
          <wp:inline distT="0" distB="0" distL="0" distR="0" wp14:anchorId="2219DE1C" wp14:editId="789DD5DF">
            <wp:extent cx="4572000" cy="3390899"/>
            <wp:effectExtent l="0" t="0" r="19050" b="19685"/>
            <wp:docPr id="5" name="Gráfico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30D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5B6"/>
    <w:rsid w:val="004D60E9"/>
    <w:rsid w:val="006577F3"/>
    <w:rsid w:val="00916964"/>
    <w:rsid w:val="00B30DF2"/>
    <w:rsid w:val="00C47A19"/>
    <w:rsid w:val="00C71D45"/>
    <w:rsid w:val="00DC35B6"/>
    <w:rsid w:val="00FC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5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C3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35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../embeddings/oleObject1.bin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_tradnl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 sz="1600" b="1"/>
              <a:t>Quinquenios</a:t>
            </a:r>
          </a:p>
        </c:rich>
      </c:tx>
      <c:layout>
        <c:manualLayout>
          <c:xMode val="edge"/>
          <c:yMode val="edge"/>
          <c:x val="0.36833333333333335"/>
          <c:y val="2.1621621621621623E-2"/>
        </c:manualLayout>
      </c:layout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Quinquenios</c:v>
          </c:tx>
          <c:marker>
            <c:symbol val="none"/>
          </c:marker>
          <c:cat>
            <c:strRef>
              <c:f>Hoja1!$B$7:$B$10</c:f>
              <c:strCache>
                <c:ptCount val="4"/>
                <c:pt idx="0">
                  <c:v>2000-2004</c:v>
                </c:pt>
                <c:pt idx="1">
                  <c:v>2005-2009</c:v>
                </c:pt>
                <c:pt idx="2">
                  <c:v>2010-2014</c:v>
                </c:pt>
                <c:pt idx="3">
                  <c:v>2015-2019</c:v>
                </c:pt>
              </c:strCache>
            </c:strRef>
          </c:cat>
          <c:val>
            <c:numRef>
              <c:f>Hoja1!$C$7:$C$10</c:f>
              <c:numCache>
                <c:formatCode>General</c:formatCode>
                <c:ptCount val="4"/>
                <c:pt idx="0">
                  <c:v>7</c:v>
                </c:pt>
                <c:pt idx="1">
                  <c:v>15</c:v>
                </c:pt>
                <c:pt idx="2">
                  <c:v>23</c:v>
                </c:pt>
                <c:pt idx="3">
                  <c:v>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0359808"/>
        <c:axId val="210547072"/>
      </c:lineChart>
      <c:catAx>
        <c:axId val="210359808"/>
        <c:scaling>
          <c:orientation val="minMax"/>
        </c:scaling>
        <c:delete val="0"/>
        <c:axPos val="b"/>
        <c:majorTickMark val="out"/>
        <c:minorTickMark val="none"/>
        <c:tickLblPos val="nextTo"/>
        <c:crossAx val="210547072"/>
        <c:crosses val="autoZero"/>
        <c:auto val="1"/>
        <c:lblAlgn val="ctr"/>
        <c:lblOffset val="100"/>
        <c:noMultiLvlLbl val="0"/>
      </c:catAx>
      <c:valAx>
        <c:axId val="210547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035980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_trad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3557668498984799E-2"/>
          <c:y val="0.11307420494699646"/>
          <c:w val="0.70655998188905633"/>
          <c:h val="0.88692579505300351"/>
        </c:manualLayout>
      </c:layout>
      <c:pie3DChart>
        <c:varyColors val="1"/>
        <c:ser>
          <c:idx val="0"/>
          <c:order val="0"/>
          <c:cat>
            <c:strRef>
              <c:f>Hoja1!$M$12:$M$13</c:f>
              <c:strCache>
                <c:ptCount val="2"/>
                <c:pt idx="0">
                  <c:v>Inglés </c:v>
                </c:pt>
                <c:pt idx="1">
                  <c:v>Español</c:v>
                </c:pt>
              </c:strCache>
            </c:strRef>
          </c:cat>
          <c:val>
            <c:numRef>
              <c:f>Hoja1!$N$12:$N$13</c:f>
              <c:numCache>
                <c:formatCode>General</c:formatCode>
                <c:ptCount val="2"/>
                <c:pt idx="0">
                  <c:v>106</c:v>
                </c:pt>
                <c:pt idx="1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_trad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s-ES_tradnl"/>
              <a:t>Países</a:t>
            </a:r>
            <a:r>
              <a:rPr lang="es-ES_tradnl" baseline="0"/>
              <a:t> o regiones</a:t>
            </a:r>
            <a:r>
              <a:rPr lang="es-ES_tradnl"/>
              <a:t>.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Número de artícuos</c:v>
          </c:tx>
          <c:invertIfNegative val="0"/>
          <c:cat>
            <c:strRef>
              <c:f>Hoja1!$I$10:$I$15</c:f>
              <c:strCache>
                <c:ptCount val="6"/>
                <c:pt idx="0">
                  <c:v>USA</c:v>
                </c:pt>
                <c:pt idx="1">
                  <c:v>UK</c:v>
                </c:pt>
                <c:pt idx="2">
                  <c:v>Australia</c:v>
                </c:pt>
                <c:pt idx="3">
                  <c:v>Canadá</c:v>
                </c:pt>
                <c:pt idx="4">
                  <c:v>Latinoamérica</c:v>
                </c:pt>
                <c:pt idx="5">
                  <c:v>Otros </c:v>
                </c:pt>
              </c:strCache>
            </c:strRef>
          </c:cat>
          <c:val>
            <c:numRef>
              <c:f>Hoja1!$J$10:$J$15</c:f>
              <c:numCache>
                <c:formatCode>General</c:formatCode>
                <c:ptCount val="6"/>
                <c:pt idx="0">
                  <c:v>68</c:v>
                </c:pt>
                <c:pt idx="1">
                  <c:v>13</c:v>
                </c:pt>
                <c:pt idx="2">
                  <c:v>5</c:v>
                </c:pt>
                <c:pt idx="3">
                  <c:v>3</c:v>
                </c:pt>
                <c:pt idx="4">
                  <c:v>4</c:v>
                </c:pt>
                <c:pt idx="5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1268736"/>
        <c:axId val="213071744"/>
      </c:barChart>
      <c:catAx>
        <c:axId val="211268736"/>
        <c:scaling>
          <c:orientation val="minMax"/>
        </c:scaling>
        <c:delete val="0"/>
        <c:axPos val="b"/>
        <c:majorTickMark val="out"/>
        <c:minorTickMark val="none"/>
        <c:tickLblPos val="nextTo"/>
        <c:crossAx val="213071744"/>
        <c:crosses val="autoZero"/>
        <c:auto val="1"/>
        <c:lblAlgn val="ctr"/>
        <c:lblOffset val="100"/>
        <c:noMultiLvlLbl val="0"/>
      </c:catAx>
      <c:valAx>
        <c:axId val="2130717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126873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0.65888</cdr:x>
      <cdr:y>0.2176</cdr:y>
    </cdr:from>
    <cdr:to>
      <cdr:x>0.82884</cdr:x>
      <cdr:y>0.32082</cdr:y>
    </cdr:to>
    <cdr:sp macro="" textlink="">
      <cdr:nvSpPr>
        <cdr:cNvPr id="2" name="1 Cuadro de texto"/>
        <cdr:cNvSpPr txBox="1"/>
      </cdr:nvSpPr>
      <cdr:spPr>
        <a:xfrm xmlns:a="http://schemas.openxmlformats.org/drawingml/2006/main">
          <a:off x="2886864" y="607295"/>
          <a:ext cx="744679" cy="28805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" sz="1100" b="1">
              <a:effectLst/>
              <a:latin typeface="+mn-lt"/>
              <a:ea typeface="+mn-ea"/>
              <a:cs typeface="+mn-cs"/>
            </a:rPr>
            <a:t>94.6 %</a:t>
          </a:r>
          <a:endParaRPr lang="es-ES_tradnl" sz="1100" b="1"/>
        </a:p>
      </cdr:txBody>
    </cdr:sp>
  </cdr:relSizeAnchor>
  <cdr:relSizeAnchor xmlns:cdr="http://schemas.openxmlformats.org/drawingml/2006/chartDrawing">
    <cdr:from>
      <cdr:x>0.26222</cdr:x>
      <cdr:y>0.11863</cdr:y>
    </cdr:from>
    <cdr:to>
      <cdr:x>0.44837</cdr:x>
      <cdr:y>0.21311</cdr:y>
    </cdr:to>
    <cdr:sp macro="" textlink="">
      <cdr:nvSpPr>
        <cdr:cNvPr id="3" name="2 Cuadro de texto"/>
        <cdr:cNvSpPr txBox="1"/>
      </cdr:nvSpPr>
      <cdr:spPr>
        <a:xfrm xmlns:a="http://schemas.openxmlformats.org/drawingml/2006/main">
          <a:off x="1148920" y="331071"/>
          <a:ext cx="815616" cy="2636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" sz="1100" b="1">
              <a:effectLst/>
              <a:latin typeface="+mn-lt"/>
              <a:ea typeface="+mn-ea"/>
              <a:cs typeface="+mn-cs"/>
            </a:rPr>
            <a:t>5.4 %</a:t>
          </a:r>
          <a:endParaRPr lang="es-ES_tradnl" sz="1100" b="1"/>
        </a:p>
      </cdr:txBody>
    </cdr:sp>
  </cdr:relSizeAnchor>
  <cdr:relSizeAnchor xmlns:cdr="http://schemas.openxmlformats.org/drawingml/2006/chartDrawing">
    <cdr:from>
      <cdr:x>0.44474</cdr:x>
      <cdr:y>0</cdr:y>
    </cdr:from>
    <cdr:to>
      <cdr:x>0.69272</cdr:x>
      <cdr:y>0.12097</cdr:y>
    </cdr:to>
    <cdr:sp macro="" textlink="">
      <cdr:nvSpPr>
        <cdr:cNvPr id="4" name="3 Cuadro de texto"/>
        <cdr:cNvSpPr txBox="1"/>
      </cdr:nvSpPr>
      <cdr:spPr>
        <a:xfrm xmlns:a="http://schemas.openxmlformats.org/drawingml/2006/main">
          <a:off x="1571626" y="0"/>
          <a:ext cx="876300" cy="32607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_tradnl" sz="1600" b="1"/>
            <a:t>Idiomas</a:t>
          </a:r>
          <a:r>
            <a:rPr lang="es-ES_tradnl" sz="1600" b="1" baseline="0"/>
            <a:t> </a:t>
          </a:r>
          <a:endParaRPr lang="es-ES_tradnl" sz="1600" b="1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</dc:creator>
  <cp:lastModifiedBy>Dr</cp:lastModifiedBy>
  <cp:revision>3</cp:revision>
  <dcterms:created xsi:type="dcterms:W3CDTF">2018-05-16T00:13:00Z</dcterms:created>
  <dcterms:modified xsi:type="dcterms:W3CDTF">2018-05-16T01:32:00Z</dcterms:modified>
</cp:coreProperties>
</file>